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6D85" w14:textId="77777777" w:rsidR="00AA3EF7" w:rsidRDefault="00AA3EF7" w:rsidP="003529EE">
      <w:pPr>
        <w:spacing w:line="276" w:lineRule="auto"/>
        <w:jc w:val="center"/>
        <w:rPr>
          <w:rFonts w:ascii="Calibri" w:hAnsi="Calibri" w:cs="Calibri"/>
          <w:b/>
          <w:bCs/>
          <w:sz w:val="28"/>
          <w:szCs w:val="28"/>
          <w:u w:val="single"/>
        </w:rPr>
      </w:pPr>
      <w:r w:rsidRPr="00AA3EF7">
        <w:rPr>
          <w:rFonts w:ascii="Calibri" w:hAnsi="Calibri" w:cs="Calibri"/>
          <w:b/>
          <w:bCs/>
          <w:sz w:val="28"/>
          <w:szCs w:val="28"/>
          <w:u w:val="single"/>
        </w:rPr>
        <w:t>Manuál pro zásahy do společného majetku SVJ</w:t>
      </w:r>
    </w:p>
    <w:p w14:paraId="4D6959BD" w14:textId="77777777" w:rsidR="00DB7428" w:rsidRPr="00AA3EF7" w:rsidRDefault="00DB7428" w:rsidP="003529EE">
      <w:pPr>
        <w:spacing w:line="276" w:lineRule="auto"/>
        <w:jc w:val="center"/>
        <w:rPr>
          <w:rFonts w:ascii="Calibri" w:hAnsi="Calibri" w:cs="Calibri"/>
          <w:b/>
          <w:bCs/>
          <w:sz w:val="28"/>
          <w:szCs w:val="28"/>
          <w:u w:val="single"/>
        </w:rPr>
      </w:pPr>
    </w:p>
    <w:p w14:paraId="3339546D" w14:textId="3968B071" w:rsidR="00AA3EF7" w:rsidRDefault="00AA3EF7" w:rsidP="00E373C0">
      <w:pPr>
        <w:pStyle w:val="Odstavecseseznamem"/>
        <w:numPr>
          <w:ilvl w:val="0"/>
          <w:numId w:val="29"/>
        </w:numPr>
        <w:spacing w:line="240" w:lineRule="auto"/>
        <w:jc w:val="both"/>
        <w:rPr>
          <w:rFonts w:ascii="Calibri" w:hAnsi="Calibri" w:cs="Calibri"/>
          <w:b/>
          <w:bCs/>
          <w:sz w:val="23"/>
          <w:szCs w:val="23"/>
        </w:rPr>
      </w:pPr>
      <w:r w:rsidRPr="002C5159">
        <w:rPr>
          <w:rFonts w:ascii="Calibri" w:hAnsi="Calibri" w:cs="Calibri"/>
          <w:b/>
          <w:bCs/>
          <w:sz w:val="23"/>
          <w:szCs w:val="23"/>
        </w:rPr>
        <w:t>Úvod </w:t>
      </w:r>
    </w:p>
    <w:p w14:paraId="02644E9D" w14:textId="77777777" w:rsidR="002C5159" w:rsidRPr="002C5159" w:rsidRDefault="002C5159" w:rsidP="00E373C0">
      <w:pPr>
        <w:pStyle w:val="Odstavecseseznamem"/>
        <w:spacing w:line="240" w:lineRule="auto"/>
        <w:ind w:left="360"/>
        <w:jc w:val="both"/>
        <w:rPr>
          <w:rFonts w:ascii="Calibri" w:hAnsi="Calibri" w:cs="Calibri"/>
          <w:b/>
          <w:bCs/>
          <w:sz w:val="23"/>
          <w:szCs w:val="23"/>
        </w:rPr>
      </w:pPr>
    </w:p>
    <w:p w14:paraId="1470E136" w14:textId="3A744150" w:rsidR="00AA3EF7" w:rsidRPr="002C5159" w:rsidRDefault="00AA3EF7" w:rsidP="00E373C0">
      <w:pPr>
        <w:pStyle w:val="Odstavecseseznamem"/>
        <w:spacing w:line="240" w:lineRule="auto"/>
        <w:ind w:left="360"/>
        <w:jc w:val="both"/>
        <w:rPr>
          <w:rFonts w:ascii="Calibri" w:hAnsi="Calibri" w:cs="Calibri"/>
          <w:sz w:val="23"/>
          <w:szCs w:val="23"/>
        </w:rPr>
      </w:pPr>
      <w:r w:rsidRPr="002C5159">
        <w:rPr>
          <w:rFonts w:ascii="Calibri" w:hAnsi="Calibri" w:cs="Calibri"/>
          <w:sz w:val="23"/>
          <w:szCs w:val="23"/>
        </w:rPr>
        <w:t>Tento manuál stanovuje pravidla pro jakékoliv zásahy do společného majetku, aby byla zajištěna bezpečnost, estetická integrita, soulad s právními a regulatorními požadavky a nebylo negativně zasaženo do sousedských vztahů a práv jednotlivých vlastníků.</w:t>
      </w:r>
    </w:p>
    <w:p w14:paraId="4DE6AB37" w14:textId="77777777" w:rsidR="00AA3EF7" w:rsidRPr="002C5159" w:rsidRDefault="00AA3EF7" w:rsidP="00E373C0">
      <w:pPr>
        <w:pStyle w:val="Odstavecseseznamem"/>
        <w:spacing w:line="240" w:lineRule="auto"/>
        <w:ind w:left="360"/>
        <w:jc w:val="both"/>
        <w:rPr>
          <w:rFonts w:ascii="Calibri" w:hAnsi="Calibri" w:cs="Calibri"/>
          <w:sz w:val="23"/>
          <w:szCs w:val="23"/>
        </w:rPr>
      </w:pPr>
    </w:p>
    <w:p w14:paraId="0324D02C" w14:textId="3652DAB6" w:rsidR="00AA3EF7" w:rsidRDefault="00AA3EF7" w:rsidP="00E373C0">
      <w:pPr>
        <w:pStyle w:val="Odstavecseseznamem"/>
        <w:numPr>
          <w:ilvl w:val="0"/>
          <w:numId w:val="29"/>
        </w:numPr>
        <w:spacing w:line="240" w:lineRule="auto"/>
        <w:jc w:val="both"/>
        <w:rPr>
          <w:rFonts w:ascii="Calibri" w:hAnsi="Calibri" w:cs="Calibri"/>
          <w:b/>
          <w:bCs/>
          <w:sz w:val="23"/>
          <w:szCs w:val="23"/>
        </w:rPr>
      </w:pPr>
      <w:r w:rsidRPr="002C5159">
        <w:rPr>
          <w:rFonts w:ascii="Calibri" w:hAnsi="Calibri" w:cs="Calibri"/>
          <w:b/>
          <w:bCs/>
          <w:sz w:val="23"/>
          <w:szCs w:val="23"/>
        </w:rPr>
        <w:t>Definice společného majetku </w:t>
      </w:r>
    </w:p>
    <w:p w14:paraId="752EE670" w14:textId="77777777" w:rsidR="002C5159" w:rsidRPr="002C5159" w:rsidRDefault="002C5159" w:rsidP="00E373C0">
      <w:pPr>
        <w:pStyle w:val="Odstavecseseznamem"/>
        <w:spacing w:line="240" w:lineRule="auto"/>
        <w:ind w:left="360"/>
        <w:jc w:val="both"/>
        <w:rPr>
          <w:rFonts w:ascii="Calibri" w:hAnsi="Calibri" w:cs="Calibri"/>
          <w:b/>
          <w:bCs/>
          <w:sz w:val="23"/>
          <w:szCs w:val="23"/>
        </w:rPr>
      </w:pPr>
    </w:p>
    <w:p w14:paraId="497C950E" w14:textId="23A16ECF" w:rsidR="00AA3EF7" w:rsidRPr="002C5159" w:rsidRDefault="00AA3EF7" w:rsidP="00E373C0">
      <w:pPr>
        <w:pStyle w:val="Odstavecseseznamem"/>
        <w:spacing w:line="240" w:lineRule="auto"/>
        <w:ind w:left="360"/>
        <w:jc w:val="both"/>
        <w:rPr>
          <w:rFonts w:ascii="Calibri" w:hAnsi="Calibri" w:cs="Calibri"/>
          <w:sz w:val="23"/>
          <w:szCs w:val="23"/>
        </w:rPr>
      </w:pPr>
      <w:r w:rsidRPr="002C5159">
        <w:rPr>
          <w:rFonts w:ascii="Calibri" w:hAnsi="Calibri" w:cs="Calibri"/>
          <w:sz w:val="23"/>
          <w:szCs w:val="23"/>
        </w:rPr>
        <w:t>Společný majetek zahrnuje fasádu budovy, střechu, nosné konstrukce, společné prostory jako chodby, schodiště, zahrady, včetně balkónů, teras a předzahrádek, které jsou ve výlučném užívání jednotlivých vlastníků.</w:t>
      </w:r>
    </w:p>
    <w:p w14:paraId="10F3B2FE" w14:textId="77777777" w:rsidR="00AA3EF7" w:rsidRPr="002C5159" w:rsidRDefault="00AA3EF7" w:rsidP="00E373C0">
      <w:pPr>
        <w:pStyle w:val="Odstavecseseznamem"/>
        <w:spacing w:line="240" w:lineRule="auto"/>
        <w:ind w:left="360"/>
        <w:jc w:val="both"/>
        <w:rPr>
          <w:rFonts w:ascii="Calibri" w:hAnsi="Calibri" w:cs="Calibri"/>
          <w:sz w:val="23"/>
          <w:szCs w:val="23"/>
        </w:rPr>
      </w:pPr>
    </w:p>
    <w:p w14:paraId="4B6F1C04" w14:textId="76DC465B" w:rsidR="00AA3EF7" w:rsidRPr="00AA3EF7" w:rsidRDefault="00AA3EF7" w:rsidP="00E373C0">
      <w:pPr>
        <w:pStyle w:val="Odstavecseseznamem"/>
        <w:numPr>
          <w:ilvl w:val="0"/>
          <w:numId w:val="29"/>
        </w:numPr>
        <w:spacing w:line="240" w:lineRule="auto"/>
        <w:jc w:val="both"/>
        <w:rPr>
          <w:rFonts w:ascii="Calibri" w:hAnsi="Calibri" w:cs="Calibri"/>
          <w:b/>
          <w:bCs/>
          <w:sz w:val="23"/>
          <w:szCs w:val="23"/>
        </w:rPr>
      </w:pPr>
      <w:r w:rsidRPr="00AA3EF7">
        <w:rPr>
          <w:rFonts w:ascii="Calibri" w:hAnsi="Calibri" w:cs="Calibri"/>
          <w:b/>
          <w:bCs/>
          <w:sz w:val="23"/>
          <w:szCs w:val="23"/>
        </w:rPr>
        <w:t>Obecná pravidla pro zásahy</w:t>
      </w:r>
    </w:p>
    <w:p w14:paraId="5CA5F2E2" w14:textId="77777777" w:rsidR="00AA3EF7" w:rsidRPr="002C5159" w:rsidRDefault="00AA3EF7" w:rsidP="00E373C0">
      <w:pPr>
        <w:numPr>
          <w:ilvl w:val="0"/>
          <w:numId w:val="21"/>
        </w:numPr>
        <w:spacing w:line="240" w:lineRule="auto"/>
        <w:jc w:val="both"/>
        <w:rPr>
          <w:rFonts w:ascii="Calibri" w:hAnsi="Calibri" w:cs="Calibri"/>
          <w:sz w:val="23"/>
          <w:szCs w:val="23"/>
        </w:rPr>
      </w:pPr>
      <w:r w:rsidRPr="00AA3EF7">
        <w:rPr>
          <w:rFonts w:ascii="Calibri" w:hAnsi="Calibri" w:cs="Calibri"/>
          <w:sz w:val="23"/>
          <w:szCs w:val="23"/>
          <w:u w:val="single"/>
        </w:rPr>
        <w:t>Zásady pro úpravy</w:t>
      </w:r>
      <w:r w:rsidRPr="00AA3EF7">
        <w:rPr>
          <w:rFonts w:ascii="Calibri" w:hAnsi="Calibri" w:cs="Calibri"/>
          <w:sz w:val="23"/>
          <w:szCs w:val="23"/>
        </w:rPr>
        <w:t xml:space="preserve">: </w:t>
      </w:r>
    </w:p>
    <w:p w14:paraId="0092AECE" w14:textId="5FBFD046" w:rsidR="00AA3EF7" w:rsidRPr="00AA3EF7" w:rsidRDefault="00AA3EF7" w:rsidP="00E373C0">
      <w:pPr>
        <w:numPr>
          <w:ilvl w:val="1"/>
          <w:numId w:val="21"/>
        </w:numPr>
        <w:spacing w:line="240" w:lineRule="auto"/>
        <w:jc w:val="both"/>
        <w:rPr>
          <w:rFonts w:ascii="Calibri" w:hAnsi="Calibri" w:cs="Calibri"/>
          <w:sz w:val="23"/>
          <w:szCs w:val="23"/>
        </w:rPr>
      </w:pPr>
      <w:r w:rsidRPr="00AA3EF7">
        <w:rPr>
          <w:rFonts w:ascii="Calibri" w:hAnsi="Calibri" w:cs="Calibri"/>
          <w:sz w:val="23"/>
          <w:szCs w:val="23"/>
        </w:rPr>
        <w:t>Jakékoli zásahy do společného majetku vyžadují předchozí schválení Shromáždění (minimálně 75% hlasů), popřípadě písemný souhlas Výboru SVJ dle pravidel a mandátu uložených Shromážděním a vycházejících z tohoto Manuálu.</w:t>
      </w:r>
    </w:p>
    <w:p w14:paraId="1648D726" w14:textId="77777777" w:rsidR="00AA3EF7" w:rsidRPr="00AA3EF7" w:rsidRDefault="00AA3EF7" w:rsidP="00E373C0">
      <w:pPr>
        <w:numPr>
          <w:ilvl w:val="0"/>
          <w:numId w:val="21"/>
        </w:numPr>
        <w:spacing w:line="240" w:lineRule="auto"/>
        <w:jc w:val="both"/>
        <w:rPr>
          <w:rFonts w:ascii="Calibri" w:hAnsi="Calibri" w:cs="Calibri"/>
          <w:sz w:val="23"/>
          <w:szCs w:val="23"/>
        </w:rPr>
      </w:pPr>
      <w:r w:rsidRPr="00AA3EF7">
        <w:rPr>
          <w:rFonts w:ascii="Calibri" w:hAnsi="Calibri" w:cs="Calibri"/>
          <w:sz w:val="23"/>
          <w:szCs w:val="23"/>
          <w:u w:val="single"/>
        </w:rPr>
        <w:t>Postup schvalování</w:t>
      </w:r>
      <w:r w:rsidRPr="00AA3EF7">
        <w:rPr>
          <w:rFonts w:ascii="Calibri" w:hAnsi="Calibri" w:cs="Calibri"/>
          <w:sz w:val="23"/>
          <w:szCs w:val="23"/>
        </w:rPr>
        <w:t>:</w:t>
      </w:r>
    </w:p>
    <w:p w14:paraId="03729D22" w14:textId="77777777" w:rsidR="00AA3EF7" w:rsidRPr="00AA3EF7" w:rsidRDefault="00AA3EF7" w:rsidP="00E373C0">
      <w:pPr>
        <w:numPr>
          <w:ilvl w:val="1"/>
          <w:numId w:val="21"/>
        </w:numPr>
        <w:spacing w:line="240" w:lineRule="auto"/>
        <w:jc w:val="both"/>
        <w:rPr>
          <w:rFonts w:ascii="Calibri" w:hAnsi="Calibri" w:cs="Calibri"/>
          <w:sz w:val="23"/>
          <w:szCs w:val="23"/>
        </w:rPr>
      </w:pPr>
      <w:r w:rsidRPr="00AA3EF7">
        <w:rPr>
          <w:rFonts w:ascii="Calibri" w:hAnsi="Calibri" w:cs="Calibri"/>
          <w:b/>
          <w:bCs/>
          <w:sz w:val="23"/>
          <w:szCs w:val="23"/>
        </w:rPr>
        <w:t>Podání žádosti</w:t>
      </w:r>
      <w:r w:rsidRPr="00AA3EF7">
        <w:rPr>
          <w:rFonts w:ascii="Calibri" w:hAnsi="Calibri" w:cs="Calibri"/>
          <w:sz w:val="23"/>
          <w:szCs w:val="23"/>
        </w:rPr>
        <w:t>: Vlastník jednotky předloží před samotnou realizací žádost o zásah do společného majetku, která obsahuje detailní popis plánované změny, důvody pro její provedení, technické specifikace, vizualizace a případné dopady na ostatní vlastníky.</w:t>
      </w:r>
    </w:p>
    <w:p w14:paraId="5F02D58A" w14:textId="16E0FC58" w:rsidR="00AA3EF7" w:rsidRDefault="00AA3EF7" w:rsidP="00E373C0">
      <w:pPr>
        <w:numPr>
          <w:ilvl w:val="1"/>
          <w:numId w:val="21"/>
        </w:numPr>
        <w:spacing w:line="240" w:lineRule="auto"/>
        <w:jc w:val="both"/>
        <w:rPr>
          <w:rFonts w:ascii="Calibri" w:hAnsi="Calibri" w:cs="Calibri"/>
          <w:sz w:val="23"/>
          <w:szCs w:val="23"/>
        </w:rPr>
      </w:pPr>
      <w:r w:rsidRPr="00AA3EF7">
        <w:rPr>
          <w:rFonts w:ascii="Calibri" w:hAnsi="Calibri" w:cs="Calibri"/>
          <w:b/>
          <w:bCs/>
          <w:sz w:val="23"/>
          <w:szCs w:val="23"/>
        </w:rPr>
        <w:t>Posouzení žádosti</w:t>
      </w:r>
      <w:r w:rsidRPr="00AA3EF7">
        <w:rPr>
          <w:rFonts w:ascii="Calibri" w:hAnsi="Calibri" w:cs="Calibri"/>
          <w:sz w:val="23"/>
          <w:szCs w:val="23"/>
        </w:rPr>
        <w:t>: Výbor SVJ posoudí žádost z hlediska technických, estetických a právních aspektů a vydá stanovisko k</w:t>
      </w:r>
      <w:r w:rsidR="00C04A23">
        <w:rPr>
          <w:rFonts w:ascii="Calibri" w:hAnsi="Calibri" w:cs="Calibri"/>
          <w:sz w:val="23"/>
          <w:szCs w:val="23"/>
        </w:rPr>
        <w:t> </w:t>
      </w:r>
      <w:r w:rsidRPr="00AA3EF7">
        <w:rPr>
          <w:rFonts w:ascii="Calibri" w:hAnsi="Calibri" w:cs="Calibri"/>
          <w:sz w:val="23"/>
          <w:szCs w:val="23"/>
        </w:rPr>
        <w:t>návrhu</w:t>
      </w:r>
      <w:r w:rsidR="00C04A23">
        <w:rPr>
          <w:rFonts w:ascii="Calibri" w:hAnsi="Calibri" w:cs="Calibri"/>
          <w:sz w:val="23"/>
          <w:szCs w:val="23"/>
        </w:rPr>
        <w:t xml:space="preserve"> (nejpozději ve lhůtě do 30 dnů od obdržení formální žádosti).</w:t>
      </w:r>
      <w:r w:rsidRPr="00AA3EF7">
        <w:rPr>
          <w:rFonts w:ascii="Calibri" w:hAnsi="Calibri" w:cs="Calibri"/>
          <w:sz w:val="23"/>
          <w:szCs w:val="23"/>
        </w:rPr>
        <w:t xml:space="preserve"> V případě nejasností nebo pochybností nad navrhovaným řešením</w:t>
      </w:r>
      <w:r w:rsidR="00780DDB">
        <w:rPr>
          <w:rFonts w:ascii="Calibri" w:hAnsi="Calibri" w:cs="Calibri"/>
          <w:sz w:val="23"/>
          <w:szCs w:val="23"/>
        </w:rPr>
        <w:t xml:space="preserve">, včetně </w:t>
      </w:r>
      <w:r w:rsidR="00780DDB" w:rsidRPr="00780DDB">
        <w:rPr>
          <w:rFonts w:ascii="Calibri" w:hAnsi="Calibri" w:cs="Calibri"/>
          <w:sz w:val="23"/>
          <w:szCs w:val="23"/>
        </w:rPr>
        <w:t>případných negativních dopadů na dotčené sousedy</w:t>
      </w:r>
      <w:r w:rsidR="00780DDB">
        <w:rPr>
          <w:rFonts w:ascii="Calibri" w:hAnsi="Calibri" w:cs="Calibri"/>
          <w:sz w:val="23"/>
          <w:szCs w:val="23"/>
        </w:rPr>
        <w:t>,</w:t>
      </w:r>
      <w:r w:rsidRPr="00AA3EF7">
        <w:rPr>
          <w:rFonts w:ascii="Calibri" w:hAnsi="Calibri" w:cs="Calibri"/>
          <w:sz w:val="23"/>
          <w:szCs w:val="23"/>
        </w:rPr>
        <w:t xml:space="preserve"> může být žádost posunuta na rozhodnutí Shromáždění všech vlastníků nebo předmětem </w:t>
      </w:r>
      <w:r w:rsidR="00780DDB">
        <w:rPr>
          <w:rFonts w:ascii="Calibri" w:hAnsi="Calibri" w:cs="Calibri"/>
          <w:sz w:val="23"/>
          <w:szCs w:val="23"/>
        </w:rPr>
        <w:t xml:space="preserve">samostatného </w:t>
      </w:r>
      <w:r w:rsidRPr="00AA3EF7">
        <w:rPr>
          <w:rFonts w:ascii="Calibri" w:hAnsi="Calibri" w:cs="Calibri"/>
          <w:sz w:val="23"/>
          <w:szCs w:val="23"/>
        </w:rPr>
        <w:t>per-rollam hlasování.</w:t>
      </w:r>
    </w:p>
    <w:p w14:paraId="4024BA85" w14:textId="77777777" w:rsidR="002C5159" w:rsidRDefault="002C5159" w:rsidP="00E373C0">
      <w:pPr>
        <w:spacing w:after="0" w:line="240" w:lineRule="auto"/>
        <w:ind w:left="1440"/>
        <w:jc w:val="both"/>
        <w:rPr>
          <w:rFonts w:ascii="Calibri" w:hAnsi="Calibri" w:cs="Calibri"/>
          <w:sz w:val="23"/>
          <w:szCs w:val="23"/>
        </w:rPr>
      </w:pPr>
    </w:p>
    <w:p w14:paraId="0AC6E976" w14:textId="77C7B57B" w:rsidR="00AA3EF7" w:rsidRDefault="00AA3EF7" w:rsidP="00E373C0">
      <w:pPr>
        <w:pStyle w:val="Odstavecseseznamem"/>
        <w:numPr>
          <w:ilvl w:val="0"/>
          <w:numId w:val="29"/>
        </w:numPr>
        <w:spacing w:line="240" w:lineRule="auto"/>
        <w:jc w:val="both"/>
        <w:rPr>
          <w:rFonts w:ascii="Calibri" w:hAnsi="Calibri" w:cs="Calibri"/>
          <w:b/>
          <w:bCs/>
          <w:sz w:val="23"/>
          <w:szCs w:val="23"/>
        </w:rPr>
      </w:pPr>
      <w:r w:rsidRPr="00AA3EF7">
        <w:rPr>
          <w:rFonts w:ascii="Calibri" w:hAnsi="Calibri" w:cs="Calibri"/>
          <w:b/>
          <w:bCs/>
          <w:sz w:val="23"/>
          <w:szCs w:val="23"/>
        </w:rPr>
        <w:t>Pravidla pro specifické zásahy</w:t>
      </w:r>
      <w:r w:rsidR="002C5159">
        <w:rPr>
          <w:rFonts w:ascii="Calibri" w:hAnsi="Calibri" w:cs="Calibri"/>
          <w:b/>
          <w:bCs/>
          <w:sz w:val="23"/>
          <w:szCs w:val="23"/>
        </w:rPr>
        <w:t xml:space="preserve"> </w:t>
      </w:r>
      <w:r w:rsidR="002C5159" w:rsidRPr="002C5159">
        <w:rPr>
          <w:rFonts w:ascii="Calibri" w:hAnsi="Calibri" w:cs="Calibri"/>
          <w:b/>
          <w:bCs/>
          <w:sz w:val="23"/>
          <w:szCs w:val="23"/>
        </w:rPr>
        <w:t>do společného majetku</w:t>
      </w:r>
    </w:p>
    <w:p w14:paraId="0BF71941" w14:textId="77777777" w:rsidR="00AA3EF7" w:rsidRPr="00AA3EF7" w:rsidRDefault="00AA3EF7" w:rsidP="00E373C0">
      <w:pPr>
        <w:spacing w:line="240" w:lineRule="auto"/>
        <w:jc w:val="both"/>
        <w:rPr>
          <w:rFonts w:ascii="Calibri" w:hAnsi="Calibri" w:cs="Calibri"/>
          <w:sz w:val="23"/>
          <w:szCs w:val="23"/>
          <w:u w:val="single"/>
        </w:rPr>
      </w:pPr>
      <w:r w:rsidRPr="00AA3EF7">
        <w:rPr>
          <w:rFonts w:ascii="Calibri" w:hAnsi="Calibri" w:cs="Calibri"/>
          <w:sz w:val="23"/>
          <w:szCs w:val="23"/>
          <w:u w:val="single"/>
        </w:rPr>
        <w:t>4.1 Instalace klimatizačních jednotek</w:t>
      </w:r>
    </w:p>
    <w:p w14:paraId="1DDBE4DF" w14:textId="77777777" w:rsidR="00AA3EF7" w:rsidRPr="008155D9" w:rsidRDefault="00AA3EF7" w:rsidP="00E373C0">
      <w:pPr>
        <w:numPr>
          <w:ilvl w:val="0"/>
          <w:numId w:val="22"/>
        </w:numPr>
        <w:spacing w:line="240" w:lineRule="auto"/>
        <w:jc w:val="both"/>
        <w:rPr>
          <w:rFonts w:ascii="Calibri" w:hAnsi="Calibri" w:cs="Calibri"/>
          <w:sz w:val="23"/>
          <w:szCs w:val="23"/>
        </w:rPr>
      </w:pPr>
      <w:r w:rsidRPr="00AA3EF7">
        <w:rPr>
          <w:rFonts w:ascii="Calibri" w:hAnsi="Calibri" w:cs="Calibri"/>
          <w:sz w:val="23"/>
          <w:szCs w:val="23"/>
        </w:rPr>
        <w:t xml:space="preserve">Povolené umístění: </w:t>
      </w:r>
    </w:p>
    <w:p w14:paraId="21908DBC" w14:textId="552450CE" w:rsidR="00AA3EF7" w:rsidRPr="008155D9" w:rsidRDefault="00AA3EF7" w:rsidP="00CE118D">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Klimatizační jednotky mohou být instalovány na balkonech</w:t>
      </w:r>
      <w:r w:rsidR="002C5159" w:rsidRPr="008155D9">
        <w:rPr>
          <w:rFonts w:ascii="Calibri" w:hAnsi="Calibri" w:cs="Calibri"/>
          <w:sz w:val="23"/>
          <w:szCs w:val="23"/>
        </w:rPr>
        <w:t>, popř. terasách</w:t>
      </w:r>
      <w:r w:rsidRPr="00AA3EF7">
        <w:rPr>
          <w:rFonts w:ascii="Calibri" w:hAnsi="Calibri" w:cs="Calibri"/>
          <w:sz w:val="23"/>
          <w:szCs w:val="23"/>
        </w:rPr>
        <w:t xml:space="preserve"> pouze v případě, že nejsou viditelné z veřejných prostor a nenarušují estetický vzhled budovy.</w:t>
      </w:r>
    </w:p>
    <w:p w14:paraId="0C32C012" w14:textId="77777777" w:rsidR="008155D9" w:rsidRPr="008155D9" w:rsidRDefault="00CE118D" w:rsidP="008155D9">
      <w:pPr>
        <w:numPr>
          <w:ilvl w:val="1"/>
          <w:numId w:val="22"/>
        </w:numPr>
        <w:spacing w:after="0" w:line="240" w:lineRule="auto"/>
        <w:jc w:val="both"/>
        <w:rPr>
          <w:rFonts w:ascii="Calibri" w:hAnsi="Calibri" w:cs="Calibri"/>
          <w:sz w:val="23"/>
          <w:szCs w:val="23"/>
        </w:rPr>
      </w:pPr>
      <w:r w:rsidRPr="008155D9">
        <w:rPr>
          <w:rFonts w:ascii="Calibri" w:hAnsi="Calibri" w:cs="Calibri"/>
          <w:sz w:val="23"/>
          <w:szCs w:val="23"/>
        </w:rPr>
        <w:t>Klimatizační jednotky nebudou umisťovány a zavěšovány na stěny budovy.</w:t>
      </w:r>
    </w:p>
    <w:p w14:paraId="0C7EAAD9" w14:textId="46E9A383" w:rsidR="00CE118D" w:rsidRPr="008155D9" w:rsidRDefault="008155D9" w:rsidP="008155D9">
      <w:pPr>
        <w:numPr>
          <w:ilvl w:val="1"/>
          <w:numId w:val="22"/>
        </w:numPr>
        <w:spacing w:after="0" w:line="240" w:lineRule="auto"/>
        <w:jc w:val="both"/>
        <w:rPr>
          <w:rFonts w:ascii="Calibri" w:hAnsi="Calibri" w:cs="Calibri"/>
          <w:sz w:val="23"/>
          <w:szCs w:val="23"/>
        </w:rPr>
      </w:pPr>
      <w:r w:rsidRPr="008155D9">
        <w:rPr>
          <w:rFonts w:ascii="Calibri" w:hAnsi="Calibri" w:cs="Calibri"/>
          <w:sz w:val="23"/>
          <w:szCs w:val="23"/>
        </w:rPr>
        <w:t xml:space="preserve">Klimatizační jednotka bude umístěna na podlaze balkónu/terasy tak, aby její horní hrana nebyla výše než horní hrana zábradlí balkónu a prostupy potrubí ke </w:t>
      </w:r>
      <w:r w:rsidRPr="008155D9">
        <w:rPr>
          <w:rFonts w:ascii="Calibri" w:hAnsi="Calibri" w:cs="Calibri"/>
          <w:sz w:val="23"/>
          <w:szCs w:val="23"/>
        </w:rPr>
        <w:lastRenderedPageBreak/>
        <w:t>klimatizační jednotce budou umístěny minimálně o 20 cm níže než horní hrana zábradlí balkónu.</w:t>
      </w:r>
    </w:p>
    <w:p w14:paraId="2E1105FF" w14:textId="77777777" w:rsidR="00780DDB" w:rsidRPr="008155D9" w:rsidRDefault="00780DDB" w:rsidP="008155D9">
      <w:pPr>
        <w:numPr>
          <w:ilvl w:val="0"/>
          <w:numId w:val="22"/>
        </w:numPr>
        <w:shd w:val="clear" w:color="auto" w:fill="FFFFFF" w:themeFill="background1"/>
        <w:spacing w:line="240" w:lineRule="auto"/>
        <w:jc w:val="both"/>
        <w:rPr>
          <w:rFonts w:ascii="Calibri" w:hAnsi="Calibri" w:cs="Calibri"/>
          <w:sz w:val="23"/>
          <w:szCs w:val="23"/>
        </w:rPr>
      </w:pPr>
      <w:r w:rsidRPr="008155D9">
        <w:rPr>
          <w:rFonts w:ascii="Calibri" w:hAnsi="Calibri" w:cs="Calibri"/>
          <w:sz w:val="23"/>
          <w:szCs w:val="23"/>
        </w:rPr>
        <w:t xml:space="preserve">Technické požadavky: </w:t>
      </w:r>
    </w:p>
    <w:p w14:paraId="3A1A358C" w14:textId="7A41B305" w:rsidR="008B5CE9" w:rsidRPr="00E643FF" w:rsidRDefault="008B5CE9" w:rsidP="00A3072C">
      <w:pPr>
        <w:numPr>
          <w:ilvl w:val="1"/>
          <w:numId w:val="22"/>
        </w:numPr>
        <w:spacing w:after="0" w:line="240" w:lineRule="auto"/>
        <w:jc w:val="both"/>
        <w:rPr>
          <w:rFonts w:ascii="Calibri" w:hAnsi="Calibri" w:cs="Calibri"/>
          <w:sz w:val="23"/>
          <w:szCs w:val="23"/>
        </w:rPr>
      </w:pPr>
      <w:r w:rsidRPr="00E643FF">
        <w:rPr>
          <w:rFonts w:ascii="Calibri" w:hAnsi="Calibri" w:cs="Calibri"/>
          <w:sz w:val="23"/>
          <w:szCs w:val="23"/>
          <w:u w:val="single"/>
        </w:rPr>
        <w:t>Hlučnost</w:t>
      </w:r>
      <w:r w:rsidRPr="00E643FF">
        <w:rPr>
          <w:rFonts w:ascii="Calibri" w:hAnsi="Calibri" w:cs="Calibri"/>
          <w:sz w:val="23"/>
          <w:szCs w:val="23"/>
        </w:rPr>
        <w:t xml:space="preserve">: Klimatizační jednotky musí splňovat maximální hlučnost podle platných předpisů. </w:t>
      </w:r>
      <w:r w:rsidR="008155D9" w:rsidRPr="00E643FF">
        <w:rPr>
          <w:rFonts w:ascii="Calibri" w:hAnsi="Calibri" w:cs="Calibri"/>
          <w:sz w:val="23"/>
          <w:szCs w:val="23"/>
        </w:rPr>
        <w:t xml:space="preserve">Hluk z klimatizačních jednotek nepřesáhne ekvivalentní hladinu akustického tlaku max. </w:t>
      </w:r>
      <w:r w:rsidR="00C04A23">
        <w:rPr>
          <w:rFonts w:ascii="Calibri" w:hAnsi="Calibri" w:cs="Calibri"/>
          <w:sz w:val="23"/>
          <w:szCs w:val="23"/>
        </w:rPr>
        <w:t>5</w:t>
      </w:r>
      <w:r w:rsidR="008155D9" w:rsidRPr="00E643FF">
        <w:rPr>
          <w:rFonts w:ascii="Calibri" w:hAnsi="Calibri" w:cs="Calibri"/>
          <w:sz w:val="23"/>
          <w:szCs w:val="23"/>
        </w:rPr>
        <w:t>0 dB</w:t>
      </w:r>
      <w:r w:rsidR="00E643FF" w:rsidRPr="00E643FF">
        <w:rPr>
          <w:rFonts w:ascii="Calibri" w:hAnsi="Calibri" w:cs="Calibri"/>
          <w:sz w:val="23"/>
          <w:szCs w:val="23"/>
        </w:rPr>
        <w:t xml:space="preserve"> a k</w:t>
      </w:r>
      <w:r w:rsidR="008155D9" w:rsidRPr="00E643FF">
        <w:rPr>
          <w:rFonts w:ascii="Calibri" w:hAnsi="Calibri" w:cs="Calibri"/>
          <w:sz w:val="23"/>
          <w:szCs w:val="23"/>
        </w:rPr>
        <w:t>limatizační jednotky nebudou provozovány v noci mezi 22:00 a 07:00.</w:t>
      </w:r>
      <w:r w:rsidR="00E643FF" w:rsidRPr="00E643FF">
        <w:rPr>
          <w:rFonts w:ascii="Calibri" w:hAnsi="Calibri" w:cs="Calibri"/>
          <w:sz w:val="23"/>
          <w:szCs w:val="23"/>
        </w:rPr>
        <w:t xml:space="preserve"> </w:t>
      </w:r>
      <w:r w:rsidR="008155D9" w:rsidRPr="00E643FF">
        <w:rPr>
          <w:rFonts w:ascii="Calibri" w:hAnsi="Calibri" w:cs="Calibri"/>
          <w:sz w:val="23"/>
          <w:szCs w:val="23"/>
        </w:rPr>
        <w:t>Budou splněny požadavky Nařízení vlády č. 272/2011 Sb. o ochraně zdraví před nepříznivými účinky hluku a vibrací.</w:t>
      </w:r>
      <w:r w:rsidR="00E643FF">
        <w:rPr>
          <w:rFonts w:ascii="Calibri" w:hAnsi="Calibri" w:cs="Calibri"/>
          <w:sz w:val="23"/>
          <w:szCs w:val="23"/>
        </w:rPr>
        <w:t xml:space="preserve"> </w:t>
      </w:r>
      <w:r w:rsidRPr="00E643FF">
        <w:rPr>
          <w:rFonts w:ascii="Calibri" w:hAnsi="Calibri" w:cs="Calibri"/>
          <w:sz w:val="23"/>
          <w:szCs w:val="23"/>
        </w:rPr>
        <w:t>Doporučuje se instalace akustických přepážek a vibračních podložek pro snížení hluku.</w:t>
      </w:r>
    </w:p>
    <w:p w14:paraId="1A851EEB" w14:textId="3E7C0DAF" w:rsidR="008B5CE9" w:rsidRPr="008B5CE9" w:rsidRDefault="008B5CE9" w:rsidP="00E643FF">
      <w:pPr>
        <w:numPr>
          <w:ilvl w:val="1"/>
          <w:numId w:val="22"/>
        </w:numPr>
        <w:spacing w:after="0" w:line="240" w:lineRule="auto"/>
        <w:jc w:val="both"/>
        <w:rPr>
          <w:rFonts w:ascii="Calibri" w:hAnsi="Calibri" w:cs="Calibri"/>
          <w:sz w:val="23"/>
          <w:szCs w:val="23"/>
        </w:rPr>
      </w:pPr>
      <w:r w:rsidRPr="00E643FF">
        <w:rPr>
          <w:rFonts w:ascii="Calibri" w:hAnsi="Calibri" w:cs="Calibri"/>
          <w:sz w:val="23"/>
          <w:szCs w:val="23"/>
          <w:u w:val="single"/>
        </w:rPr>
        <w:t>Vibrace</w:t>
      </w:r>
      <w:r w:rsidRPr="008B5CE9">
        <w:rPr>
          <w:rFonts w:ascii="Calibri" w:hAnsi="Calibri" w:cs="Calibri"/>
          <w:sz w:val="23"/>
          <w:szCs w:val="23"/>
        </w:rPr>
        <w:t xml:space="preserve">: Je nutné zajistit, aby vibrace způsobené klimatizační jednotkou neovlivňovaly strukturu budovy. Použití vibračních podložek je </w:t>
      </w:r>
      <w:r>
        <w:rPr>
          <w:rFonts w:ascii="Calibri" w:hAnsi="Calibri" w:cs="Calibri"/>
          <w:sz w:val="23"/>
          <w:szCs w:val="23"/>
        </w:rPr>
        <w:t>vyžadováno</w:t>
      </w:r>
      <w:r w:rsidRPr="008B5CE9">
        <w:rPr>
          <w:rFonts w:ascii="Calibri" w:hAnsi="Calibri" w:cs="Calibri"/>
          <w:sz w:val="23"/>
          <w:szCs w:val="23"/>
        </w:rPr>
        <w:t>.</w:t>
      </w:r>
    </w:p>
    <w:p w14:paraId="7FFFD5CA" w14:textId="77777777" w:rsidR="008B5CE9" w:rsidRDefault="008B5CE9" w:rsidP="00E643FF">
      <w:pPr>
        <w:numPr>
          <w:ilvl w:val="1"/>
          <w:numId w:val="22"/>
        </w:numPr>
        <w:spacing w:after="0" w:line="240" w:lineRule="auto"/>
        <w:jc w:val="both"/>
        <w:rPr>
          <w:rFonts w:ascii="Calibri" w:hAnsi="Calibri" w:cs="Calibri"/>
          <w:sz w:val="23"/>
          <w:szCs w:val="23"/>
        </w:rPr>
      </w:pPr>
      <w:r w:rsidRPr="00E643FF">
        <w:rPr>
          <w:rFonts w:ascii="Calibri" w:hAnsi="Calibri" w:cs="Calibri"/>
          <w:sz w:val="23"/>
          <w:szCs w:val="23"/>
          <w:u w:val="single"/>
        </w:rPr>
        <w:t>Odvod tepla a vody</w:t>
      </w:r>
      <w:r w:rsidRPr="008B5CE9">
        <w:rPr>
          <w:rFonts w:ascii="Calibri" w:hAnsi="Calibri" w:cs="Calibri"/>
          <w:sz w:val="23"/>
          <w:szCs w:val="23"/>
        </w:rPr>
        <w:t>: Klimatizační jednotky musí mít efektivní systém pro odvod tepla a kondenzované vody, aby nedocházelo k poškození fasády nebo jiných částí budovy.</w:t>
      </w:r>
    </w:p>
    <w:p w14:paraId="3C56C337" w14:textId="228D73B6" w:rsidR="00CE118D" w:rsidRPr="00CE118D" w:rsidRDefault="00671200" w:rsidP="00E643FF">
      <w:pPr>
        <w:numPr>
          <w:ilvl w:val="1"/>
          <w:numId w:val="22"/>
        </w:numPr>
        <w:spacing w:after="0" w:line="240" w:lineRule="auto"/>
        <w:jc w:val="both"/>
        <w:rPr>
          <w:rFonts w:ascii="Calibri" w:hAnsi="Calibri" w:cs="Calibri"/>
          <w:sz w:val="23"/>
          <w:szCs w:val="23"/>
        </w:rPr>
      </w:pPr>
      <w:r w:rsidRPr="00E643FF">
        <w:rPr>
          <w:rFonts w:ascii="Calibri" w:hAnsi="Calibri" w:cs="Calibri"/>
          <w:sz w:val="23"/>
          <w:szCs w:val="23"/>
          <w:u w:val="single"/>
        </w:rPr>
        <w:t>Stavební konstrukce</w:t>
      </w:r>
      <w:r>
        <w:rPr>
          <w:rFonts w:ascii="Calibri" w:hAnsi="Calibri" w:cs="Calibri"/>
          <w:sz w:val="23"/>
          <w:szCs w:val="23"/>
        </w:rPr>
        <w:t xml:space="preserve">: </w:t>
      </w:r>
      <w:r w:rsidR="00CE118D" w:rsidRPr="00CE118D">
        <w:rPr>
          <w:rFonts w:ascii="Calibri" w:hAnsi="Calibri" w:cs="Calibri"/>
          <w:sz w:val="23"/>
          <w:szCs w:val="23"/>
        </w:rPr>
        <w:t>Prostupy obvodovou stěnou budou v takovém místě, aby nemohly způsobit poruchu</w:t>
      </w:r>
      <w:r w:rsidR="00CE118D">
        <w:rPr>
          <w:rFonts w:ascii="Calibri" w:hAnsi="Calibri" w:cs="Calibri"/>
          <w:sz w:val="23"/>
          <w:szCs w:val="23"/>
        </w:rPr>
        <w:t xml:space="preserve"> </w:t>
      </w:r>
      <w:r w:rsidR="00CE118D" w:rsidRPr="00CE118D">
        <w:rPr>
          <w:rFonts w:ascii="Calibri" w:hAnsi="Calibri" w:cs="Calibri"/>
          <w:sz w:val="23"/>
          <w:szCs w:val="23"/>
        </w:rPr>
        <w:t>nosné konstrukce budovy.</w:t>
      </w:r>
      <w:r>
        <w:rPr>
          <w:rFonts w:ascii="Calibri" w:hAnsi="Calibri" w:cs="Calibri"/>
          <w:sz w:val="23"/>
          <w:szCs w:val="23"/>
        </w:rPr>
        <w:t xml:space="preserve"> </w:t>
      </w:r>
      <w:r w:rsidRPr="00671200">
        <w:rPr>
          <w:rFonts w:ascii="Calibri" w:hAnsi="Calibri" w:cs="Calibri"/>
          <w:sz w:val="23"/>
          <w:szCs w:val="23"/>
        </w:rPr>
        <w:t>V místě prostupu fasádou bude kontaktní zateplovací systém opraven a prostup utěsněn tak, aby nedocházelo k zatékání vody do fasády.</w:t>
      </w:r>
      <w:r w:rsidR="008155D9">
        <w:rPr>
          <w:rFonts w:ascii="Calibri" w:hAnsi="Calibri" w:cs="Calibri"/>
          <w:sz w:val="23"/>
          <w:szCs w:val="23"/>
        </w:rPr>
        <w:t xml:space="preserve"> </w:t>
      </w:r>
      <w:r w:rsidR="008155D9" w:rsidRPr="008155D9">
        <w:rPr>
          <w:rFonts w:ascii="Calibri" w:hAnsi="Calibri" w:cs="Calibri"/>
          <w:sz w:val="23"/>
          <w:szCs w:val="23"/>
        </w:rPr>
        <w:t>Prostupy obvodovou stěnou a fasádou budou provedeny jádrovým vrtem.</w:t>
      </w:r>
    </w:p>
    <w:p w14:paraId="25A10A33" w14:textId="14B99DF9" w:rsidR="00780DDB" w:rsidRDefault="008B5CE9" w:rsidP="00E643FF">
      <w:pPr>
        <w:numPr>
          <w:ilvl w:val="1"/>
          <w:numId w:val="22"/>
        </w:numPr>
        <w:spacing w:after="0" w:line="240" w:lineRule="auto"/>
        <w:jc w:val="both"/>
        <w:rPr>
          <w:rFonts w:ascii="Calibri" w:hAnsi="Calibri" w:cs="Calibri"/>
          <w:sz w:val="23"/>
          <w:szCs w:val="23"/>
        </w:rPr>
      </w:pPr>
      <w:r w:rsidRPr="00E643FF">
        <w:rPr>
          <w:rFonts w:ascii="Calibri" w:hAnsi="Calibri" w:cs="Calibri"/>
          <w:sz w:val="23"/>
          <w:szCs w:val="23"/>
          <w:u w:val="single"/>
        </w:rPr>
        <w:t>Certifikace</w:t>
      </w:r>
      <w:r w:rsidRPr="008B5CE9">
        <w:rPr>
          <w:rFonts w:ascii="Calibri" w:hAnsi="Calibri" w:cs="Calibri"/>
          <w:sz w:val="23"/>
          <w:szCs w:val="23"/>
        </w:rPr>
        <w:t>: Instalace musí být provedena certifikovaným technikem, který má zkušenosti s montáží klimatizačních jednotek a je schopen zajistit dodržení všech technických norem pro bezpečnost.</w:t>
      </w:r>
    </w:p>
    <w:p w14:paraId="6518DE2F" w14:textId="216315D5" w:rsidR="00671200" w:rsidRDefault="00671200" w:rsidP="00E643FF">
      <w:pPr>
        <w:numPr>
          <w:ilvl w:val="1"/>
          <w:numId w:val="22"/>
        </w:numPr>
        <w:spacing w:after="0" w:line="240" w:lineRule="auto"/>
        <w:jc w:val="both"/>
        <w:rPr>
          <w:rFonts w:ascii="Calibri" w:hAnsi="Calibri" w:cs="Calibri"/>
          <w:sz w:val="23"/>
          <w:szCs w:val="23"/>
        </w:rPr>
      </w:pPr>
      <w:r w:rsidRPr="00E643FF">
        <w:rPr>
          <w:rFonts w:ascii="Calibri" w:hAnsi="Calibri" w:cs="Calibri"/>
          <w:sz w:val="23"/>
          <w:szCs w:val="23"/>
          <w:u w:val="single"/>
        </w:rPr>
        <w:t>Instalace</w:t>
      </w:r>
      <w:r>
        <w:rPr>
          <w:rFonts w:ascii="Calibri" w:hAnsi="Calibri" w:cs="Calibri"/>
          <w:sz w:val="23"/>
          <w:szCs w:val="23"/>
        </w:rPr>
        <w:t xml:space="preserve">: </w:t>
      </w:r>
      <w:r w:rsidRPr="00671200">
        <w:rPr>
          <w:rFonts w:ascii="Calibri" w:hAnsi="Calibri" w:cs="Calibri"/>
          <w:sz w:val="23"/>
          <w:szCs w:val="23"/>
        </w:rPr>
        <w:t>Instalace klimatizace vč. klimatizační jednotky proběhne pouze pokud k dané instalaci vydá souhlas výbor SVJ.</w:t>
      </w:r>
      <w:r>
        <w:rPr>
          <w:rFonts w:ascii="Calibri" w:hAnsi="Calibri" w:cs="Calibri"/>
          <w:sz w:val="23"/>
          <w:szCs w:val="23"/>
        </w:rPr>
        <w:t xml:space="preserve"> </w:t>
      </w:r>
      <w:r w:rsidR="008155D9" w:rsidRPr="008155D9">
        <w:rPr>
          <w:rFonts w:ascii="Calibri" w:hAnsi="Calibri" w:cs="Calibri"/>
          <w:sz w:val="23"/>
          <w:szCs w:val="23"/>
        </w:rPr>
        <w:t>Termín instalace bude ohlášen výboru SVJ min. 7 dní předem.</w:t>
      </w:r>
      <w:r w:rsidR="008155D9">
        <w:rPr>
          <w:rFonts w:ascii="Calibri" w:hAnsi="Calibri" w:cs="Calibri"/>
          <w:sz w:val="23"/>
          <w:szCs w:val="23"/>
        </w:rPr>
        <w:t xml:space="preserve"> </w:t>
      </w:r>
      <w:r w:rsidRPr="00671200">
        <w:rPr>
          <w:rFonts w:ascii="Calibri" w:hAnsi="Calibri" w:cs="Calibri"/>
          <w:sz w:val="23"/>
          <w:szCs w:val="23"/>
        </w:rPr>
        <w:t>Po instalaci klimatizační jednotky vlastník bytové jednotky předá výboru SVJ příslušné revize a umožní výboru SVJ provést kontrolu instalace klimatizační jednotky.</w:t>
      </w:r>
    </w:p>
    <w:p w14:paraId="79C3ECF6" w14:textId="5F99FC09" w:rsidR="00671200" w:rsidRDefault="00671200" w:rsidP="00E643FF">
      <w:pPr>
        <w:numPr>
          <w:ilvl w:val="1"/>
          <w:numId w:val="22"/>
        </w:numPr>
        <w:spacing w:after="0" w:line="240" w:lineRule="auto"/>
        <w:jc w:val="both"/>
        <w:rPr>
          <w:rFonts w:ascii="Calibri" w:hAnsi="Calibri" w:cs="Calibri"/>
          <w:sz w:val="23"/>
          <w:szCs w:val="23"/>
        </w:rPr>
      </w:pPr>
      <w:r w:rsidRPr="00E643FF">
        <w:rPr>
          <w:rFonts w:ascii="Calibri" w:hAnsi="Calibri" w:cs="Calibri"/>
          <w:sz w:val="23"/>
          <w:szCs w:val="23"/>
          <w:u w:val="single"/>
        </w:rPr>
        <w:t>Údržba a provoz</w:t>
      </w:r>
      <w:r w:rsidRPr="00671200">
        <w:rPr>
          <w:rFonts w:ascii="Calibri" w:hAnsi="Calibri" w:cs="Calibri"/>
          <w:sz w:val="23"/>
          <w:szCs w:val="23"/>
        </w:rPr>
        <w:t>:</w:t>
      </w:r>
      <w:r>
        <w:rPr>
          <w:rFonts w:ascii="Calibri" w:hAnsi="Calibri" w:cs="Calibri"/>
          <w:sz w:val="23"/>
          <w:szCs w:val="23"/>
        </w:rPr>
        <w:t xml:space="preserve"> </w:t>
      </w:r>
      <w:r w:rsidRPr="00671200">
        <w:rPr>
          <w:rFonts w:ascii="Calibri" w:hAnsi="Calibri" w:cs="Calibri"/>
          <w:sz w:val="23"/>
          <w:szCs w:val="23"/>
        </w:rPr>
        <w:t>Vlastník bytové jednotky je povinen udržovat klimatizaci v dobrém technickém stavu tak, aby se nezvyšovala hlučnost klimatizační jednotky.</w:t>
      </w:r>
      <w:r>
        <w:rPr>
          <w:rFonts w:ascii="Calibri" w:hAnsi="Calibri" w:cs="Calibri"/>
          <w:sz w:val="23"/>
          <w:szCs w:val="23"/>
        </w:rPr>
        <w:t xml:space="preserve"> </w:t>
      </w:r>
      <w:r w:rsidRPr="00671200">
        <w:rPr>
          <w:rFonts w:ascii="Calibri" w:hAnsi="Calibri" w:cs="Calibri"/>
          <w:sz w:val="23"/>
          <w:szCs w:val="23"/>
        </w:rPr>
        <w:t>Vlastník bytové jednotky je při opakovaném porušení podmínek provozu povinen klimatizační jednotku na své náklady odstranit a dále ji neprovozovat.</w:t>
      </w:r>
      <w:r w:rsidR="008155D9">
        <w:rPr>
          <w:rFonts w:ascii="Calibri" w:hAnsi="Calibri" w:cs="Calibri"/>
          <w:sz w:val="23"/>
          <w:szCs w:val="23"/>
        </w:rPr>
        <w:t xml:space="preserve"> </w:t>
      </w:r>
      <w:r w:rsidR="008155D9" w:rsidRPr="008155D9">
        <w:rPr>
          <w:rFonts w:ascii="Calibri" w:hAnsi="Calibri" w:cs="Calibri"/>
          <w:sz w:val="23"/>
          <w:szCs w:val="23"/>
        </w:rPr>
        <w:t>Klimatizační jednotky nebudou provozovány v noci mezi 22:00 a 07:00.</w:t>
      </w:r>
    </w:p>
    <w:p w14:paraId="55ECB037" w14:textId="77777777" w:rsidR="00E643FF" w:rsidRPr="00AA3EF7" w:rsidRDefault="00E643FF" w:rsidP="00E643FF">
      <w:pPr>
        <w:spacing w:after="0" w:line="240" w:lineRule="auto"/>
        <w:ind w:left="1440"/>
        <w:jc w:val="both"/>
        <w:rPr>
          <w:rFonts w:ascii="Calibri" w:hAnsi="Calibri" w:cs="Calibri"/>
          <w:sz w:val="23"/>
          <w:szCs w:val="23"/>
        </w:rPr>
      </w:pPr>
    </w:p>
    <w:p w14:paraId="419A24D6" w14:textId="77777777" w:rsidR="00AA3EF7" w:rsidRPr="00AA3EF7" w:rsidRDefault="00AA3EF7" w:rsidP="00E373C0">
      <w:pPr>
        <w:numPr>
          <w:ilvl w:val="0"/>
          <w:numId w:val="22"/>
        </w:numPr>
        <w:spacing w:line="240" w:lineRule="auto"/>
        <w:jc w:val="both"/>
        <w:rPr>
          <w:rFonts w:ascii="Calibri" w:hAnsi="Calibri" w:cs="Calibri"/>
          <w:sz w:val="23"/>
          <w:szCs w:val="23"/>
        </w:rPr>
      </w:pPr>
      <w:r w:rsidRPr="00AA3EF7">
        <w:rPr>
          <w:rFonts w:ascii="Calibri" w:hAnsi="Calibri" w:cs="Calibri"/>
          <w:sz w:val="23"/>
          <w:szCs w:val="23"/>
        </w:rPr>
        <w:t>Požadavky na obsah žádosti:</w:t>
      </w:r>
    </w:p>
    <w:p w14:paraId="518400C8" w14:textId="77777777"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Číslo bytové jednotky (podlaží, orientace bytu, sdílený balkón atp.)</w:t>
      </w:r>
    </w:p>
    <w:p w14:paraId="501EC6BB" w14:textId="77777777"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Popis technického řešení – zejména nákres umístění a způsob instalace</w:t>
      </w:r>
    </w:p>
    <w:p w14:paraId="47BAD81D" w14:textId="77777777"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Specifikace konkrétního zařízení – typ klimatizace, včetně technických parametrů (hlučnost, vibrace, způsob řešení odvodu tepla a vody)</w:t>
      </w:r>
    </w:p>
    <w:p w14:paraId="6601A4C1" w14:textId="0B95B6D7"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Odbornost, resp. certifikace instalační firmy na dodávku a montáž tohoto zařízení</w:t>
      </w:r>
    </w:p>
    <w:p w14:paraId="681A603F" w14:textId="77777777"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Opatření vedoucí k zamezení negativních vlivů (akustické přepážky, vibrační podložky, způsob odvodu tepla, omezení provozu v období nočního klidu atp.)</w:t>
      </w:r>
    </w:p>
    <w:p w14:paraId="56EB2C73" w14:textId="7315771A" w:rsidR="00AA3EF7" w:rsidRPr="00C04A23" w:rsidRDefault="00AA3EF7" w:rsidP="00C04A23">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Písemné vyjádření dotčených sousedů, tj. vlastníků vedlejších bytů (zejména v případě sdílených balkónů)</w:t>
      </w:r>
      <w:r w:rsidR="00C04A23">
        <w:rPr>
          <w:rFonts w:ascii="Calibri" w:hAnsi="Calibri" w:cs="Calibri"/>
          <w:sz w:val="23"/>
          <w:szCs w:val="23"/>
        </w:rPr>
        <w:t xml:space="preserve">. Negativní vyjádření dotčených sousedů nemusí nutně znamenat nemožnost instalace klimatizační jednotky, zejména v případech, kdy plánovaná instalace odpovídá podmínkám a pravidlům obsažených výše v tomto </w:t>
      </w:r>
      <w:r w:rsidR="00C04A23" w:rsidRPr="00C04A23">
        <w:rPr>
          <w:rFonts w:ascii="Calibri" w:hAnsi="Calibri" w:cs="Calibri"/>
          <w:sz w:val="23"/>
          <w:szCs w:val="23"/>
        </w:rPr>
        <w:t xml:space="preserve"> </w:t>
      </w:r>
      <w:r w:rsidR="00C04A23">
        <w:rPr>
          <w:rFonts w:ascii="Calibri" w:hAnsi="Calibri" w:cs="Calibri"/>
          <w:sz w:val="23"/>
          <w:szCs w:val="23"/>
        </w:rPr>
        <w:t>Manuálu a stanovisko dotčených sousedů postrádá</w:t>
      </w:r>
      <w:r w:rsidR="00C04A23" w:rsidRPr="00C04A23">
        <w:rPr>
          <w:rFonts w:ascii="Calibri" w:hAnsi="Calibri" w:cs="Calibri"/>
          <w:sz w:val="23"/>
          <w:szCs w:val="23"/>
        </w:rPr>
        <w:t xml:space="preserve"> </w:t>
      </w:r>
      <w:r w:rsidR="00C04A23">
        <w:rPr>
          <w:rFonts w:ascii="Calibri" w:hAnsi="Calibri" w:cs="Calibri"/>
          <w:sz w:val="23"/>
          <w:szCs w:val="23"/>
        </w:rPr>
        <w:t xml:space="preserve">validní </w:t>
      </w:r>
      <w:r w:rsidR="00C04A23" w:rsidRPr="00C04A23">
        <w:rPr>
          <w:rFonts w:ascii="Calibri" w:hAnsi="Calibri" w:cs="Calibri"/>
          <w:sz w:val="23"/>
          <w:szCs w:val="23"/>
        </w:rPr>
        <w:t xml:space="preserve">technický či objektivní </w:t>
      </w:r>
      <w:r w:rsidR="00C04A23" w:rsidRPr="00C04A23">
        <w:rPr>
          <w:rFonts w:ascii="Calibri" w:hAnsi="Calibri" w:cs="Calibri"/>
          <w:sz w:val="23"/>
          <w:szCs w:val="23"/>
        </w:rPr>
        <w:lastRenderedPageBreak/>
        <w:t xml:space="preserve">základ. </w:t>
      </w:r>
      <w:r w:rsidR="00C04A23">
        <w:rPr>
          <w:rFonts w:ascii="Calibri" w:hAnsi="Calibri" w:cs="Calibri"/>
          <w:sz w:val="23"/>
          <w:szCs w:val="23"/>
        </w:rPr>
        <w:t>Cílem je zamezit situaci, kdy bude</w:t>
      </w:r>
      <w:r w:rsidR="00C04A23" w:rsidRPr="00C04A23">
        <w:rPr>
          <w:rFonts w:ascii="Calibri" w:hAnsi="Calibri" w:cs="Calibri"/>
          <w:sz w:val="23"/>
          <w:szCs w:val="23"/>
        </w:rPr>
        <w:t xml:space="preserve"> žadatel znevýhodněn, přestože splňuje všechna pravidla </w:t>
      </w:r>
      <w:r w:rsidR="00C04A23">
        <w:rPr>
          <w:rFonts w:ascii="Calibri" w:hAnsi="Calibri" w:cs="Calibri"/>
          <w:sz w:val="23"/>
          <w:szCs w:val="23"/>
        </w:rPr>
        <w:t xml:space="preserve">limity </w:t>
      </w:r>
      <w:r w:rsidR="00C04A23" w:rsidRPr="00C04A23">
        <w:rPr>
          <w:rFonts w:ascii="Calibri" w:hAnsi="Calibri" w:cs="Calibri"/>
          <w:sz w:val="23"/>
          <w:szCs w:val="23"/>
        </w:rPr>
        <w:t>dan</w:t>
      </w:r>
      <w:r w:rsidR="00C04A23">
        <w:rPr>
          <w:rFonts w:ascii="Calibri" w:hAnsi="Calibri" w:cs="Calibri"/>
          <w:sz w:val="23"/>
          <w:szCs w:val="23"/>
        </w:rPr>
        <w:t>é tímto</w:t>
      </w:r>
      <w:r w:rsidR="00C04A23" w:rsidRPr="00C04A23">
        <w:rPr>
          <w:rFonts w:ascii="Calibri" w:hAnsi="Calibri" w:cs="Calibri"/>
          <w:sz w:val="23"/>
          <w:szCs w:val="23"/>
        </w:rPr>
        <w:t xml:space="preserve"> manuálem.</w:t>
      </w:r>
    </w:p>
    <w:p w14:paraId="17151045" w14:textId="77777777"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Potvrzení majitele jednotky, že instalací přebírá veškerou odpovědnost za případné škody na společném majetku</w:t>
      </w:r>
    </w:p>
    <w:p w14:paraId="1E1DEE67" w14:textId="77777777"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Instalace musí být provedena certifikovaným technikem a splňovat všechny technické normy pro bezpečnost</w:t>
      </w:r>
    </w:p>
    <w:p w14:paraId="7D4F95E5" w14:textId="7A21501E" w:rsidR="00AA3EF7" w:rsidRPr="00AA3EF7" w:rsidRDefault="00AA3EF7" w:rsidP="00E643FF">
      <w:pPr>
        <w:numPr>
          <w:ilvl w:val="1"/>
          <w:numId w:val="22"/>
        </w:numPr>
        <w:spacing w:after="0" w:line="240" w:lineRule="auto"/>
        <w:jc w:val="both"/>
        <w:rPr>
          <w:rFonts w:ascii="Calibri" w:hAnsi="Calibri" w:cs="Calibri"/>
          <w:sz w:val="23"/>
          <w:szCs w:val="23"/>
        </w:rPr>
      </w:pPr>
      <w:r w:rsidRPr="00AA3EF7">
        <w:rPr>
          <w:rFonts w:ascii="Calibri" w:hAnsi="Calibri" w:cs="Calibri"/>
          <w:sz w:val="23"/>
          <w:szCs w:val="23"/>
        </w:rPr>
        <w:t>Potvrzení akceptace, že klimatizační jednotka nebude využívána v období nočního klidu</w:t>
      </w:r>
      <w:r w:rsidR="00780DDB">
        <w:rPr>
          <w:rFonts w:ascii="Calibri" w:hAnsi="Calibri" w:cs="Calibri"/>
          <w:sz w:val="23"/>
          <w:szCs w:val="23"/>
        </w:rPr>
        <w:t>,</w:t>
      </w:r>
      <w:r w:rsidRPr="00AA3EF7">
        <w:rPr>
          <w:rFonts w:ascii="Calibri" w:hAnsi="Calibri" w:cs="Calibri"/>
          <w:sz w:val="23"/>
          <w:szCs w:val="23"/>
        </w:rPr>
        <w:t xml:space="preserve"> v souhlasu s Domovním řádem SVJ</w:t>
      </w:r>
    </w:p>
    <w:p w14:paraId="71366009" w14:textId="77777777" w:rsidR="00AA3EF7" w:rsidRPr="00AA3EF7" w:rsidRDefault="00AA3EF7" w:rsidP="00E373C0">
      <w:pPr>
        <w:spacing w:line="240" w:lineRule="auto"/>
        <w:jc w:val="both"/>
        <w:rPr>
          <w:rFonts w:ascii="Calibri" w:hAnsi="Calibri" w:cs="Calibri"/>
          <w:sz w:val="23"/>
          <w:szCs w:val="23"/>
          <w:u w:val="single"/>
        </w:rPr>
      </w:pPr>
      <w:r w:rsidRPr="00AA3EF7">
        <w:rPr>
          <w:rFonts w:ascii="Calibri" w:hAnsi="Calibri" w:cs="Calibri"/>
          <w:sz w:val="23"/>
          <w:szCs w:val="23"/>
          <w:u w:val="single"/>
        </w:rPr>
        <w:t>4.2 Montáž pergol</w:t>
      </w:r>
    </w:p>
    <w:p w14:paraId="20307780" w14:textId="77777777" w:rsidR="00AA3EF7" w:rsidRPr="002C5159" w:rsidRDefault="00AA3EF7" w:rsidP="00E373C0">
      <w:pPr>
        <w:numPr>
          <w:ilvl w:val="0"/>
          <w:numId w:val="23"/>
        </w:numPr>
        <w:spacing w:line="240" w:lineRule="auto"/>
        <w:jc w:val="both"/>
        <w:rPr>
          <w:rFonts w:ascii="Calibri" w:hAnsi="Calibri" w:cs="Calibri"/>
          <w:sz w:val="23"/>
          <w:szCs w:val="23"/>
        </w:rPr>
      </w:pPr>
      <w:r w:rsidRPr="00AA3EF7">
        <w:rPr>
          <w:rFonts w:ascii="Calibri" w:hAnsi="Calibri" w:cs="Calibri"/>
          <w:sz w:val="23"/>
          <w:szCs w:val="23"/>
        </w:rPr>
        <w:t xml:space="preserve">Povolené konstrukce a estetické požadavky: </w:t>
      </w:r>
    </w:p>
    <w:p w14:paraId="4E0F1E33" w14:textId="4A404F56" w:rsidR="00AA3EF7" w:rsidRPr="00AA3EF7" w:rsidRDefault="00AA3EF7" w:rsidP="00E373C0">
      <w:pPr>
        <w:numPr>
          <w:ilvl w:val="1"/>
          <w:numId w:val="23"/>
        </w:numPr>
        <w:spacing w:line="240" w:lineRule="auto"/>
        <w:jc w:val="both"/>
        <w:rPr>
          <w:rFonts w:ascii="Calibri" w:hAnsi="Calibri" w:cs="Calibri"/>
          <w:sz w:val="23"/>
          <w:szCs w:val="23"/>
        </w:rPr>
      </w:pPr>
      <w:r w:rsidRPr="00AA3EF7">
        <w:rPr>
          <w:rFonts w:ascii="Calibri" w:hAnsi="Calibri" w:cs="Calibri"/>
          <w:sz w:val="23"/>
          <w:szCs w:val="23"/>
        </w:rPr>
        <w:t>Pergoly musí být z kvalitních materiálů (např. dřevo, kov) a design, včetně barvy musí být v souladu s architektonickým a estetickým stylem budovy.</w:t>
      </w:r>
    </w:p>
    <w:p w14:paraId="350657C8" w14:textId="77777777" w:rsidR="00AA3EF7" w:rsidRPr="00AA3EF7" w:rsidRDefault="00AA3EF7" w:rsidP="00E373C0">
      <w:pPr>
        <w:numPr>
          <w:ilvl w:val="0"/>
          <w:numId w:val="23"/>
        </w:numPr>
        <w:spacing w:line="240" w:lineRule="auto"/>
        <w:jc w:val="both"/>
        <w:rPr>
          <w:rFonts w:ascii="Calibri" w:hAnsi="Calibri" w:cs="Calibri"/>
          <w:sz w:val="23"/>
          <w:szCs w:val="23"/>
        </w:rPr>
      </w:pPr>
      <w:r w:rsidRPr="00AA3EF7">
        <w:rPr>
          <w:rFonts w:ascii="Calibri" w:hAnsi="Calibri" w:cs="Calibri"/>
          <w:sz w:val="23"/>
          <w:szCs w:val="23"/>
        </w:rPr>
        <w:t>Technické požadavky:</w:t>
      </w:r>
    </w:p>
    <w:p w14:paraId="4F62518C"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Konstrukce nesmí narušovat statiku budovy ani omezovat přístup k společným prostorám.</w:t>
      </w:r>
    </w:p>
    <w:p w14:paraId="09DF430D"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Kotvení pergoly nesmí zasahovat do hydroizolace stropu podzemních garáží.</w:t>
      </w:r>
    </w:p>
    <w:p w14:paraId="551BFF5F"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Výška, velikost a umístění pergoly musí být zvoleno tak, aby co nejméně omezovala užitnou hodnotu vedlejší předzahrádky.</w:t>
      </w:r>
    </w:p>
    <w:p w14:paraId="2E20BB73"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Svod okapové vody musí být řešen tak, aby nezasahoval na vedlejší pozemek.</w:t>
      </w:r>
    </w:p>
    <w:p w14:paraId="38C3FFBF" w14:textId="77777777" w:rsid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Instalace musí být provedena certifikovaným technikem a splňovat všechny technické normy pro bezpečnost.</w:t>
      </w:r>
    </w:p>
    <w:p w14:paraId="2222831C" w14:textId="77777777" w:rsidR="00E643FF" w:rsidRPr="00AA3EF7" w:rsidRDefault="00E643FF" w:rsidP="00E643FF">
      <w:pPr>
        <w:spacing w:after="0" w:line="240" w:lineRule="auto"/>
        <w:ind w:left="1440"/>
        <w:jc w:val="both"/>
        <w:rPr>
          <w:rFonts w:ascii="Calibri" w:hAnsi="Calibri" w:cs="Calibri"/>
          <w:sz w:val="23"/>
          <w:szCs w:val="23"/>
        </w:rPr>
      </w:pPr>
    </w:p>
    <w:p w14:paraId="52371B7A" w14:textId="77777777" w:rsidR="00AA3EF7" w:rsidRPr="00AA3EF7" w:rsidRDefault="00AA3EF7" w:rsidP="00E373C0">
      <w:pPr>
        <w:numPr>
          <w:ilvl w:val="0"/>
          <w:numId w:val="23"/>
        </w:numPr>
        <w:spacing w:line="240" w:lineRule="auto"/>
        <w:jc w:val="both"/>
        <w:rPr>
          <w:rFonts w:ascii="Calibri" w:hAnsi="Calibri" w:cs="Calibri"/>
          <w:sz w:val="23"/>
          <w:szCs w:val="23"/>
        </w:rPr>
      </w:pPr>
      <w:r w:rsidRPr="00AA3EF7">
        <w:rPr>
          <w:rFonts w:ascii="Calibri" w:hAnsi="Calibri" w:cs="Calibri"/>
          <w:sz w:val="23"/>
          <w:szCs w:val="23"/>
        </w:rPr>
        <w:t>Požadavky na obsah žádosti:</w:t>
      </w:r>
    </w:p>
    <w:p w14:paraId="2725F00A"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Číslo bytové jednotky (orientace bytu, umístění předzahrádky)</w:t>
      </w:r>
    </w:p>
    <w:p w14:paraId="75766581"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Popis technického řešení (zejména nákres umístění)</w:t>
      </w:r>
    </w:p>
    <w:p w14:paraId="5A20F6B4"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Specifikace konkrétního typu pergoly (materiál, typ zastřešení, rozměry)</w:t>
      </w:r>
    </w:p>
    <w:p w14:paraId="3DA54682"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Odbornost a zkušenosti, resp. certifikace instalační firmy</w:t>
      </w:r>
    </w:p>
    <w:p w14:paraId="088ED161" w14:textId="77777777" w:rsidR="00AA3EF7" w:rsidRP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Písemné vyjádření dotčených sousedů</w:t>
      </w:r>
    </w:p>
    <w:p w14:paraId="6A033C25" w14:textId="77777777" w:rsidR="00AA3EF7" w:rsidRDefault="00AA3EF7" w:rsidP="00E643FF">
      <w:pPr>
        <w:numPr>
          <w:ilvl w:val="1"/>
          <w:numId w:val="23"/>
        </w:numPr>
        <w:spacing w:after="0" w:line="240" w:lineRule="auto"/>
        <w:jc w:val="both"/>
        <w:rPr>
          <w:rFonts w:ascii="Calibri" w:hAnsi="Calibri" w:cs="Calibri"/>
          <w:sz w:val="23"/>
          <w:szCs w:val="23"/>
        </w:rPr>
      </w:pPr>
      <w:r w:rsidRPr="00AA3EF7">
        <w:rPr>
          <w:rFonts w:ascii="Calibri" w:hAnsi="Calibri" w:cs="Calibri"/>
          <w:sz w:val="23"/>
          <w:szCs w:val="23"/>
        </w:rPr>
        <w:t>Potvrzení majitele jednotky, že instalací přebírá veškerou odpovědnost za případné škody na společném majetku</w:t>
      </w:r>
    </w:p>
    <w:p w14:paraId="7B105031" w14:textId="77777777" w:rsidR="00E643FF" w:rsidRPr="00AA3EF7" w:rsidRDefault="00E643FF" w:rsidP="00E643FF">
      <w:pPr>
        <w:spacing w:after="0" w:line="240" w:lineRule="auto"/>
        <w:ind w:left="1440"/>
        <w:jc w:val="both"/>
        <w:rPr>
          <w:rFonts w:ascii="Calibri" w:hAnsi="Calibri" w:cs="Calibri"/>
          <w:sz w:val="23"/>
          <w:szCs w:val="23"/>
        </w:rPr>
      </w:pPr>
    </w:p>
    <w:p w14:paraId="19274357" w14:textId="77777777" w:rsidR="00AA3EF7" w:rsidRPr="00AA3EF7" w:rsidRDefault="00AA3EF7" w:rsidP="00E373C0">
      <w:pPr>
        <w:spacing w:line="240" w:lineRule="auto"/>
        <w:jc w:val="both"/>
        <w:rPr>
          <w:rFonts w:ascii="Calibri" w:hAnsi="Calibri" w:cs="Calibri"/>
          <w:sz w:val="23"/>
          <w:szCs w:val="23"/>
          <w:u w:val="single"/>
        </w:rPr>
      </w:pPr>
      <w:r w:rsidRPr="00AA3EF7">
        <w:rPr>
          <w:rFonts w:ascii="Calibri" w:hAnsi="Calibri" w:cs="Calibri"/>
          <w:sz w:val="23"/>
          <w:szCs w:val="23"/>
          <w:u w:val="single"/>
        </w:rPr>
        <w:t>4.3 Výsadba zeleně a živých plotů v předzahrádkách</w:t>
      </w:r>
    </w:p>
    <w:p w14:paraId="124F29AA" w14:textId="77777777" w:rsidR="00AA3EF7" w:rsidRPr="00AA3EF7" w:rsidRDefault="00AA3EF7" w:rsidP="00E373C0">
      <w:pPr>
        <w:numPr>
          <w:ilvl w:val="0"/>
          <w:numId w:val="24"/>
        </w:numPr>
        <w:spacing w:line="240" w:lineRule="auto"/>
        <w:jc w:val="both"/>
        <w:rPr>
          <w:rFonts w:ascii="Calibri" w:hAnsi="Calibri" w:cs="Calibri"/>
          <w:sz w:val="23"/>
          <w:szCs w:val="23"/>
        </w:rPr>
      </w:pPr>
      <w:r w:rsidRPr="00AA3EF7">
        <w:rPr>
          <w:rFonts w:ascii="Calibri" w:hAnsi="Calibri" w:cs="Calibri"/>
          <w:sz w:val="23"/>
          <w:szCs w:val="23"/>
        </w:rPr>
        <w:t>Zeleň vysazovaná u oplocení by neměla převyšovat výšku plotu. Výsadba vyšší zeleně je možná pouze po dohodě se sousedním vlastníkem.</w:t>
      </w:r>
    </w:p>
    <w:p w14:paraId="01FE160F" w14:textId="77777777" w:rsidR="00AA3EF7" w:rsidRPr="00AA3EF7" w:rsidRDefault="00AA3EF7" w:rsidP="00E373C0">
      <w:pPr>
        <w:numPr>
          <w:ilvl w:val="0"/>
          <w:numId w:val="24"/>
        </w:numPr>
        <w:spacing w:line="240" w:lineRule="auto"/>
        <w:jc w:val="both"/>
        <w:rPr>
          <w:rFonts w:ascii="Calibri" w:hAnsi="Calibri" w:cs="Calibri"/>
          <w:sz w:val="23"/>
          <w:szCs w:val="23"/>
        </w:rPr>
      </w:pPr>
      <w:r w:rsidRPr="00AA3EF7">
        <w:rPr>
          <w:rFonts w:ascii="Calibri" w:hAnsi="Calibri" w:cs="Calibri"/>
          <w:sz w:val="23"/>
          <w:szCs w:val="23"/>
        </w:rPr>
        <w:t>Vlastník je povinen zeleň udržovat tak, aby neprorůstala přes oplocení, nestínila a neomezovala užívání sousedních pozemků.</w:t>
      </w:r>
    </w:p>
    <w:p w14:paraId="0BA0F2E0" w14:textId="77777777" w:rsidR="00AA3EF7" w:rsidRDefault="00AA3EF7" w:rsidP="00E373C0">
      <w:pPr>
        <w:numPr>
          <w:ilvl w:val="0"/>
          <w:numId w:val="24"/>
        </w:numPr>
        <w:spacing w:line="240" w:lineRule="auto"/>
        <w:jc w:val="both"/>
        <w:rPr>
          <w:rFonts w:ascii="Calibri" w:hAnsi="Calibri" w:cs="Calibri"/>
          <w:sz w:val="23"/>
          <w:szCs w:val="23"/>
        </w:rPr>
      </w:pPr>
      <w:r w:rsidRPr="00AA3EF7">
        <w:rPr>
          <w:rFonts w:ascii="Calibri" w:hAnsi="Calibri" w:cs="Calibri"/>
          <w:sz w:val="23"/>
          <w:szCs w:val="23"/>
        </w:rPr>
        <w:t>Vlastník odpovídá za škody způsobené výsadbou.</w:t>
      </w:r>
    </w:p>
    <w:p w14:paraId="52584A96" w14:textId="77777777" w:rsidR="002C5159" w:rsidRPr="00AA3EF7" w:rsidRDefault="002C5159" w:rsidP="00E373C0">
      <w:pPr>
        <w:spacing w:after="0" w:line="240" w:lineRule="auto"/>
        <w:ind w:left="720"/>
        <w:jc w:val="both"/>
        <w:rPr>
          <w:rFonts w:ascii="Calibri" w:hAnsi="Calibri" w:cs="Calibri"/>
          <w:sz w:val="23"/>
          <w:szCs w:val="23"/>
        </w:rPr>
      </w:pPr>
    </w:p>
    <w:p w14:paraId="38924269" w14:textId="096C87DD" w:rsidR="00AA3EF7" w:rsidRPr="00AA3EF7" w:rsidRDefault="00AA3EF7" w:rsidP="00E373C0">
      <w:pPr>
        <w:pStyle w:val="Odstavecseseznamem"/>
        <w:numPr>
          <w:ilvl w:val="0"/>
          <w:numId w:val="29"/>
        </w:numPr>
        <w:spacing w:line="240" w:lineRule="auto"/>
        <w:jc w:val="both"/>
        <w:rPr>
          <w:rFonts w:ascii="Calibri" w:hAnsi="Calibri" w:cs="Calibri"/>
          <w:b/>
          <w:bCs/>
          <w:sz w:val="23"/>
          <w:szCs w:val="23"/>
        </w:rPr>
      </w:pPr>
      <w:r w:rsidRPr="00AA3EF7">
        <w:rPr>
          <w:rFonts w:ascii="Calibri" w:hAnsi="Calibri" w:cs="Calibri"/>
          <w:b/>
          <w:bCs/>
          <w:sz w:val="23"/>
          <w:szCs w:val="23"/>
        </w:rPr>
        <w:t>Zakázané zásahy</w:t>
      </w:r>
    </w:p>
    <w:p w14:paraId="07B2EB23" w14:textId="77777777" w:rsidR="00AA3EF7" w:rsidRPr="002C5159" w:rsidRDefault="00AA3EF7" w:rsidP="00E373C0">
      <w:pPr>
        <w:numPr>
          <w:ilvl w:val="0"/>
          <w:numId w:val="25"/>
        </w:numPr>
        <w:spacing w:line="240" w:lineRule="auto"/>
        <w:jc w:val="both"/>
        <w:rPr>
          <w:rFonts w:ascii="Calibri" w:hAnsi="Calibri" w:cs="Calibri"/>
          <w:sz w:val="23"/>
          <w:szCs w:val="23"/>
        </w:rPr>
      </w:pPr>
      <w:r w:rsidRPr="00AA3EF7">
        <w:rPr>
          <w:rFonts w:ascii="Calibri" w:hAnsi="Calibri" w:cs="Calibri"/>
          <w:sz w:val="23"/>
          <w:szCs w:val="23"/>
        </w:rPr>
        <w:t xml:space="preserve">Úpravy bez předchozího schválení: </w:t>
      </w:r>
    </w:p>
    <w:p w14:paraId="5E0A881B" w14:textId="23A4E35B" w:rsidR="00AA3EF7" w:rsidRPr="00AA3EF7" w:rsidRDefault="00AA3EF7" w:rsidP="00E373C0">
      <w:pPr>
        <w:numPr>
          <w:ilvl w:val="1"/>
          <w:numId w:val="25"/>
        </w:numPr>
        <w:spacing w:line="240" w:lineRule="auto"/>
        <w:jc w:val="both"/>
        <w:rPr>
          <w:rFonts w:ascii="Calibri" w:hAnsi="Calibri" w:cs="Calibri"/>
          <w:sz w:val="23"/>
          <w:szCs w:val="23"/>
        </w:rPr>
      </w:pPr>
      <w:r w:rsidRPr="00AA3EF7">
        <w:rPr>
          <w:rFonts w:ascii="Calibri" w:hAnsi="Calibri" w:cs="Calibri"/>
          <w:sz w:val="23"/>
          <w:szCs w:val="23"/>
        </w:rPr>
        <w:t>Jakékoli zásahy provedené do společných částí SVJ bez předchozího schválení SVJ jsou zakázané.</w:t>
      </w:r>
    </w:p>
    <w:p w14:paraId="0FD27541" w14:textId="77777777" w:rsidR="00AA3EF7" w:rsidRPr="002C5159" w:rsidRDefault="00AA3EF7" w:rsidP="00E373C0">
      <w:pPr>
        <w:numPr>
          <w:ilvl w:val="0"/>
          <w:numId w:val="25"/>
        </w:numPr>
        <w:spacing w:line="240" w:lineRule="auto"/>
        <w:jc w:val="both"/>
        <w:rPr>
          <w:rFonts w:ascii="Calibri" w:hAnsi="Calibri" w:cs="Calibri"/>
          <w:sz w:val="23"/>
          <w:szCs w:val="23"/>
        </w:rPr>
      </w:pPr>
      <w:r w:rsidRPr="00AA3EF7">
        <w:rPr>
          <w:rFonts w:ascii="Calibri" w:hAnsi="Calibri" w:cs="Calibri"/>
          <w:sz w:val="23"/>
          <w:szCs w:val="23"/>
        </w:rPr>
        <w:lastRenderedPageBreak/>
        <w:t xml:space="preserve">Zásahy do nosných konstrukcí: </w:t>
      </w:r>
    </w:p>
    <w:p w14:paraId="551459C9" w14:textId="75F33F5B" w:rsidR="00AA3EF7" w:rsidRPr="00AA3EF7" w:rsidRDefault="00AA3EF7" w:rsidP="00E373C0">
      <w:pPr>
        <w:numPr>
          <w:ilvl w:val="1"/>
          <w:numId w:val="25"/>
        </w:numPr>
        <w:spacing w:line="240" w:lineRule="auto"/>
        <w:jc w:val="both"/>
        <w:rPr>
          <w:rFonts w:ascii="Calibri" w:hAnsi="Calibri" w:cs="Calibri"/>
          <w:sz w:val="23"/>
          <w:szCs w:val="23"/>
        </w:rPr>
      </w:pPr>
      <w:r w:rsidRPr="00AA3EF7">
        <w:rPr>
          <w:rFonts w:ascii="Calibri" w:hAnsi="Calibri" w:cs="Calibri"/>
          <w:sz w:val="23"/>
          <w:szCs w:val="23"/>
        </w:rPr>
        <w:t>Jakékoli zásahy, které by mohly ohrozit statiku budovy, jsou zakázané.</w:t>
      </w:r>
    </w:p>
    <w:p w14:paraId="61CC894C" w14:textId="77777777" w:rsidR="00AA3EF7" w:rsidRPr="002C5159" w:rsidRDefault="00AA3EF7" w:rsidP="00E373C0">
      <w:pPr>
        <w:numPr>
          <w:ilvl w:val="0"/>
          <w:numId w:val="25"/>
        </w:numPr>
        <w:spacing w:line="240" w:lineRule="auto"/>
        <w:jc w:val="both"/>
        <w:rPr>
          <w:rFonts w:ascii="Calibri" w:hAnsi="Calibri" w:cs="Calibri"/>
          <w:sz w:val="23"/>
          <w:szCs w:val="23"/>
        </w:rPr>
      </w:pPr>
      <w:r w:rsidRPr="00AA3EF7">
        <w:rPr>
          <w:rFonts w:ascii="Calibri" w:hAnsi="Calibri" w:cs="Calibri"/>
          <w:sz w:val="23"/>
          <w:szCs w:val="23"/>
        </w:rPr>
        <w:t xml:space="preserve">Instalace zasahující do práv ostatních vlastníků: </w:t>
      </w:r>
    </w:p>
    <w:p w14:paraId="08C55608" w14:textId="1492F06C" w:rsidR="00AA3EF7" w:rsidRPr="002C5159" w:rsidRDefault="00AA3EF7" w:rsidP="00E373C0">
      <w:pPr>
        <w:numPr>
          <w:ilvl w:val="1"/>
          <w:numId w:val="25"/>
        </w:numPr>
        <w:spacing w:after="0" w:line="240" w:lineRule="auto"/>
        <w:jc w:val="both"/>
        <w:rPr>
          <w:rFonts w:ascii="Calibri" w:hAnsi="Calibri" w:cs="Calibri"/>
          <w:sz w:val="23"/>
          <w:szCs w:val="23"/>
        </w:rPr>
      </w:pPr>
      <w:r w:rsidRPr="00AA3EF7">
        <w:rPr>
          <w:rFonts w:ascii="Calibri" w:hAnsi="Calibri" w:cs="Calibri"/>
          <w:sz w:val="23"/>
          <w:szCs w:val="23"/>
        </w:rPr>
        <w:t>Jakékoliv zásahy, které by zhoršovaly životní komfort dotčených vlastníků, jsou zakázané.</w:t>
      </w:r>
    </w:p>
    <w:p w14:paraId="208B218D" w14:textId="77777777" w:rsidR="00AA3EF7" w:rsidRDefault="00AA3EF7" w:rsidP="00E373C0">
      <w:pPr>
        <w:spacing w:after="0" w:line="240" w:lineRule="auto"/>
        <w:ind w:left="1440"/>
        <w:jc w:val="both"/>
        <w:rPr>
          <w:rFonts w:ascii="Calibri" w:hAnsi="Calibri" w:cs="Calibri"/>
          <w:sz w:val="23"/>
          <w:szCs w:val="23"/>
        </w:rPr>
      </w:pPr>
    </w:p>
    <w:p w14:paraId="15821480" w14:textId="3A4AD8B8" w:rsidR="00AA3EF7" w:rsidRPr="00AA3EF7" w:rsidRDefault="00AA3EF7" w:rsidP="00E373C0">
      <w:pPr>
        <w:pStyle w:val="Odstavecseseznamem"/>
        <w:numPr>
          <w:ilvl w:val="0"/>
          <w:numId w:val="29"/>
        </w:numPr>
        <w:spacing w:line="240" w:lineRule="auto"/>
        <w:jc w:val="both"/>
        <w:rPr>
          <w:rFonts w:ascii="Calibri" w:hAnsi="Calibri" w:cs="Calibri"/>
          <w:b/>
          <w:bCs/>
          <w:sz w:val="23"/>
          <w:szCs w:val="23"/>
        </w:rPr>
      </w:pPr>
      <w:r w:rsidRPr="00AA3EF7">
        <w:rPr>
          <w:rFonts w:ascii="Calibri" w:hAnsi="Calibri" w:cs="Calibri"/>
          <w:b/>
          <w:bCs/>
          <w:sz w:val="23"/>
          <w:szCs w:val="23"/>
        </w:rPr>
        <w:t>Odpovědnost a sankce</w:t>
      </w:r>
    </w:p>
    <w:p w14:paraId="3A5930B1" w14:textId="77777777" w:rsidR="00AA3EF7" w:rsidRPr="00AA3EF7" w:rsidRDefault="00AA3EF7" w:rsidP="00E373C0">
      <w:pPr>
        <w:numPr>
          <w:ilvl w:val="0"/>
          <w:numId w:val="26"/>
        </w:numPr>
        <w:spacing w:line="240" w:lineRule="auto"/>
        <w:jc w:val="both"/>
        <w:rPr>
          <w:rFonts w:ascii="Calibri" w:hAnsi="Calibri" w:cs="Calibri"/>
          <w:sz w:val="23"/>
          <w:szCs w:val="23"/>
        </w:rPr>
      </w:pPr>
      <w:r w:rsidRPr="00AA3EF7">
        <w:rPr>
          <w:rFonts w:ascii="Calibri" w:hAnsi="Calibri" w:cs="Calibri"/>
          <w:sz w:val="23"/>
          <w:szCs w:val="23"/>
          <w:u w:val="single"/>
        </w:rPr>
        <w:t>Odpovědnost vlastníka</w:t>
      </w:r>
      <w:r w:rsidRPr="00AA3EF7">
        <w:rPr>
          <w:rFonts w:ascii="Calibri" w:hAnsi="Calibri" w:cs="Calibri"/>
          <w:sz w:val="23"/>
          <w:szCs w:val="23"/>
        </w:rPr>
        <w:t>: Vlastník nese odpovědnost za veškeré škody vzniklé v přímé souvislosti se zásahem.</w:t>
      </w:r>
    </w:p>
    <w:p w14:paraId="0AADC701" w14:textId="3768101F" w:rsidR="00AA3EF7" w:rsidRPr="00AA3EF7" w:rsidRDefault="00AA3EF7" w:rsidP="00E373C0">
      <w:pPr>
        <w:numPr>
          <w:ilvl w:val="0"/>
          <w:numId w:val="26"/>
        </w:numPr>
        <w:spacing w:line="240" w:lineRule="auto"/>
        <w:jc w:val="both"/>
        <w:rPr>
          <w:rFonts w:ascii="Calibri" w:hAnsi="Calibri" w:cs="Calibri"/>
          <w:sz w:val="23"/>
          <w:szCs w:val="23"/>
        </w:rPr>
      </w:pPr>
      <w:r w:rsidRPr="00AA3EF7">
        <w:rPr>
          <w:rFonts w:ascii="Calibri" w:hAnsi="Calibri" w:cs="Calibri"/>
          <w:sz w:val="23"/>
          <w:szCs w:val="23"/>
          <w:u w:val="single"/>
        </w:rPr>
        <w:t>Sankce</w:t>
      </w:r>
      <w:r w:rsidRPr="00AA3EF7">
        <w:rPr>
          <w:rFonts w:ascii="Calibri" w:hAnsi="Calibri" w:cs="Calibri"/>
          <w:sz w:val="23"/>
          <w:szCs w:val="23"/>
        </w:rPr>
        <w:t xml:space="preserve">: SVJ může uložit pokuty, požadovat odstranění nelegální úpravy na náklady vlastníka a podniknout další </w:t>
      </w:r>
      <w:r w:rsidR="00780DDB">
        <w:rPr>
          <w:rFonts w:ascii="Calibri" w:hAnsi="Calibri" w:cs="Calibri"/>
          <w:sz w:val="23"/>
          <w:szCs w:val="23"/>
        </w:rPr>
        <w:t xml:space="preserve">relevantní </w:t>
      </w:r>
      <w:r w:rsidRPr="00AA3EF7">
        <w:rPr>
          <w:rFonts w:ascii="Calibri" w:hAnsi="Calibri" w:cs="Calibri"/>
          <w:sz w:val="23"/>
          <w:szCs w:val="23"/>
        </w:rPr>
        <w:t>právní kroky.</w:t>
      </w:r>
    </w:p>
    <w:p w14:paraId="47B81687" w14:textId="13DCF080" w:rsidR="00AA3EF7" w:rsidRPr="002C5159" w:rsidRDefault="00AA3EF7" w:rsidP="00E373C0">
      <w:pPr>
        <w:numPr>
          <w:ilvl w:val="0"/>
          <w:numId w:val="26"/>
        </w:numPr>
        <w:spacing w:line="240" w:lineRule="auto"/>
        <w:jc w:val="both"/>
        <w:rPr>
          <w:rFonts w:ascii="Calibri" w:hAnsi="Calibri" w:cs="Calibri"/>
          <w:sz w:val="23"/>
          <w:szCs w:val="23"/>
        </w:rPr>
      </w:pPr>
      <w:r w:rsidRPr="00AA3EF7">
        <w:rPr>
          <w:rFonts w:ascii="Calibri" w:hAnsi="Calibri" w:cs="Calibri"/>
          <w:sz w:val="23"/>
          <w:szCs w:val="23"/>
          <w:u w:val="single"/>
        </w:rPr>
        <w:t>Výzva k odstranění</w:t>
      </w:r>
      <w:r w:rsidRPr="00AA3EF7">
        <w:rPr>
          <w:rFonts w:ascii="Calibri" w:hAnsi="Calibri" w:cs="Calibri"/>
          <w:sz w:val="23"/>
          <w:szCs w:val="23"/>
        </w:rPr>
        <w:t xml:space="preserve">: </w:t>
      </w:r>
      <w:r w:rsidR="00780DDB" w:rsidRPr="00780DDB">
        <w:rPr>
          <w:rFonts w:ascii="Calibri" w:hAnsi="Calibri" w:cs="Calibri"/>
          <w:sz w:val="23"/>
          <w:szCs w:val="23"/>
        </w:rPr>
        <w:t>Vlastník, který provede úpravu bez schválení, může být vyzván k neprodlenému odstranění této úpravy a to na vlastní náklady.</w:t>
      </w:r>
    </w:p>
    <w:p w14:paraId="75F13BA4" w14:textId="77777777" w:rsidR="00AA3EF7" w:rsidRPr="00AA3EF7" w:rsidRDefault="00AA3EF7" w:rsidP="00E373C0">
      <w:pPr>
        <w:spacing w:after="0" w:line="240" w:lineRule="auto"/>
        <w:ind w:left="720"/>
        <w:jc w:val="both"/>
        <w:rPr>
          <w:rFonts w:ascii="Calibri" w:hAnsi="Calibri" w:cs="Calibri"/>
          <w:sz w:val="23"/>
          <w:szCs w:val="23"/>
        </w:rPr>
      </w:pPr>
    </w:p>
    <w:p w14:paraId="7C45167A" w14:textId="61E4BC34" w:rsidR="00AA3EF7" w:rsidRDefault="00AA3EF7" w:rsidP="00E373C0">
      <w:pPr>
        <w:pStyle w:val="Odstavecseseznamem"/>
        <w:numPr>
          <w:ilvl w:val="0"/>
          <w:numId w:val="29"/>
        </w:numPr>
        <w:spacing w:line="240" w:lineRule="auto"/>
        <w:jc w:val="both"/>
        <w:rPr>
          <w:rFonts w:ascii="Calibri" w:hAnsi="Calibri" w:cs="Calibri"/>
          <w:b/>
          <w:bCs/>
          <w:sz w:val="23"/>
          <w:szCs w:val="23"/>
        </w:rPr>
      </w:pPr>
      <w:r w:rsidRPr="00AA3EF7">
        <w:rPr>
          <w:rFonts w:ascii="Calibri" w:hAnsi="Calibri" w:cs="Calibri"/>
          <w:b/>
          <w:bCs/>
          <w:sz w:val="23"/>
          <w:szCs w:val="23"/>
        </w:rPr>
        <w:t>Relevantní pravidla a legislativa</w:t>
      </w:r>
    </w:p>
    <w:p w14:paraId="66B256A0" w14:textId="77777777" w:rsidR="00780DDB" w:rsidRPr="00AA3EF7" w:rsidRDefault="00780DDB" w:rsidP="00E643FF">
      <w:pPr>
        <w:pStyle w:val="Odstavecseseznamem"/>
        <w:spacing w:line="240" w:lineRule="auto"/>
        <w:ind w:left="360"/>
        <w:jc w:val="both"/>
        <w:rPr>
          <w:rFonts w:ascii="Calibri" w:hAnsi="Calibri" w:cs="Calibri"/>
          <w:b/>
          <w:bCs/>
          <w:sz w:val="23"/>
          <w:szCs w:val="23"/>
        </w:rPr>
      </w:pPr>
    </w:p>
    <w:p w14:paraId="0D303721" w14:textId="77777777" w:rsidR="00E373C0" w:rsidRPr="00780DDB" w:rsidRDefault="00E373C0" w:rsidP="00E643FF">
      <w:pPr>
        <w:pStyle w:val="Odstavecseseznamem"/>
        <w:numPr>
          <w:ilvl w:val="0"/>
          <w:numId w:val="12"/>
        </w:numPr>
        <w:spacing w:line="240" w:lineRule="auto"/>
        <w:jc w:val="both"/>
        <w:rPr>
          <w:rFonts w:ascii="Calibri" w:hAnsi="Calibri" w:cs="Calibri"/>
          <w:sz w:val="23"/>
          <w:szCs w:val="23"/>
        </w:rPr>
      </w:pPr>
      <w:r w:rsidRPr="008B5CE9">
        <w:rPr>
          <w:rFonts w:ascii="Calibri" w:hAnsi="Calibri" w:cs="Calibri"/>
          <w:sz w:val="23"/>
          <w:szCs w:val="23"/>
          <w:u w:val="single"/>
        </w:rPr>
        <w:t>Stanovy SVJ</w:t>
      </w:r>
      <w:r w:rsidRPr="00780DDB">
        <w:rPr>
          <w:rFonts w:ascii="Calibri" w:hAnsi="Calibri" w:cs="Calibri"/>
          <w:sz w:val="23"/>
          <w:szCs w:val="23"/>
        </w:rPr>
        <w:t>:</w:t>
      </w:r>
    </w:p>
    <w:p w14:paraId="0DBF99E0" w14:textId="53DC284A" w:rsidR="00E373C0" w:rsidRPr="00780DDB" w:rsidRDefault="00E373C0" w:rsidP="00E643FF">
      <w:pPr>
        <w:pStyle w:val="Odstavecseseznamem"/>
        <w:spacing w:line="240" w:lineRule="auto"/>
        <w:jc w:val="both"/>
        <w:rPr>
          <w:rFonts w:ascii="Calibri" w:hAnsi="Calibri" w:cs="Calibri"/>
          <w:i/>
          <w:iCs/>
          <w:sz w:val="23"/>
          <w:szCs w:val="23"/>
        </w:rPr>
      </w:pPr>
      <w:r w:rsidRPr="008B5CE9">
        <w:rPr>
          <w:rFonts w:ascii="Calibri" w:hAnsi="Calibri" w:cs="Calibri"/>
          <w:sz w:val="23"/>
          <w:szCs w:val="23"/>
        </w:rPr>
        <w:t>4l. XX., bod 9 Pravidla pro správu domu a pozemku a užívání společných částí</w:t>
      </w:r>
      <w:r w:rsidRPr="00780DDB">
        <w:rPr>
          <w:rFonts w:ascii="Calibri" w:hAnsi="Calibri" w:cs="Calibri"/>
          <w:sz w:val="23"/>
          <w:szCs w:val="23"/>
        </w:rPr>
        <w:t xml:space="preserve">:  </w:t>
      </w:r>
      <w:r w:rsidR="00780DDB">
        <w:rPr>
          <w:rFonts w:ascii="Calibri" w:hAnsi="Calibri" w:cs="Calibri"/>
          <w:sz w:val="23"/>
          <w:szCs w:val="23"/>
        </w:rPr>
        <w:t xml:space="preserve">                      </w:t>
      </w:r>
      <w:r w:rsidRPr="00780DDB">
        <w:rPr>
          <w:rFonts w:ascii="Calibri" w:hAnsi="Calibri" w:cs="Calibri"/>
          <w:i/>
          <w:iCs/>
          <w:sz w:val="23"/>
          <w:szCs w:val="23"/>
        </w:rPr>
        <w:t>Jakékoli úpravy společných částí, které nejsou určeny k výlučnému užívání, podléhají souhlasu shromáždění. Změny společných částí určených k výlučnému užívání podléhají předchozímu souhlasu shromáždění, pokud mohou ovlivnit vzhled nebo tvar domu, například změna barvy, tvaru, velikosti nebo materiálu zábradlí na balkóně nebo terase nebo instalace zastřešení, markýzy nebo pergoly. Umístění zahradních domků, pergol či jiných zařízení na předzahrádky podléhá předchozímu souhlasu společenství vlastníků, a to včetně odsouhlasení jejich velikosti, tvaru a vzhledu.</w:t>
      </w:r>
    </w:p>
    <w:p w14:paraId="0A7ED249" w14:textId="77777777" w:rsidR="00E373C0" w:rsidRPr="00780DDB" w:rsidRDefault="00E373C0" w:rsidP="00E643FF">
      <w:pPr>
        <w:pStyle w:val="Odstavecseseznamem"/>
        <w:spacing w:line="240" w:lineRule="auto"/>
        <w:jc w:val="both"/>
        <w:rPr>
          <w:rFonts w:ascii="Calibri" w:hAnsi="Calibri" w:cs="Calibri"/>
          <w:i/>
          <w:iCs/>
          <w:sz w:val="23"/>
          <w:szCs w:val="23"/>
        </w:rPr>
      </w:pPr>
    </w:p>
    <w:p w14:paraId="56E39FD1" w14:textId="3FADFBC6" w:rsidR="008B5CE9" w:rsidRDefault="00E373C0" w:rsidP="00E643FF">
      <w:pPr>
        <w:pStyle w:val="Odstavecseseznamem"/>
        <w:numPr>
          <w:ilvl w:val="0"/>
          <w:numId w:val="12"/>
        </w:numPr>
        <w:spacing w:line="240" w:lineRule="auto"/>
        <w:ind w:left="708"/>
        <w:jc w:val="both"/>
        <w:rPr>
          <w:rFonts w:ascii="Calibri" w:hAnsi="Calibri" w:cs="Calibri"/>
          <w:sz w:val="23"/>
          <w:szCs w:val="23"/>
        </w:rPr>
      </w:pPr>
      <w:r w:rsidRPr="008B5CE9">
        <w:rPr>
          <w:rFonts w:ascii="Calibri" w:hAnsi="Calibri" w:cs="Calibri"/>
          <w:sz w:val="23"/>
          <w:szCs w:val="23"/>
          <w:u w:val="single"/>
        </w:rPr>
        <w:t>Občanský zákoník</w:t>
      </w:r>
      <w:r w:rsidR="008B5CE9">
        <w:rPr>
          <w:rFonts w:ascii="Calibri" w:hAnsi="Calibri" w:cs="Calibri"/>
          <w:sz w:val="23"/>
          <w:szCs w:val="23"/>
        </w:rPr>
        <w:t>:</w:t>
      </w:r>
    </w:p>
    <w:p w14:paraId="32CA5390" w14:textId="0D42CDF3" w:rsidR="008B5CE9" w:rsidRPr="008B5CE9" w:rsidRDefault="00E373C0" w:rsidP="00E643FF">
      <w:pPr>
        <w:pStyle w:val="Odstavecseseznamem"/>
        <w:spacing w:line="240" w:lineRule="auto"/>
        <w:ind w:left="708"/>
        <w:jc w:val="both"/>
        <w:rPr>
          <w:rFonts w:ascii="Calibri" w:hAnsi="Calibri" w:cs="Calibri"/>
          <w:sz w:val="23"/>
          <w:szCs w:val="23"/>
        </w:rPr>
      </w:pPr>
      <w:r w:rsidRPr="008B5CE9">
        <w:rPr>
          <w:rFonts w:ascii="Calibri" w:hAnsi="Calibri" w:cs="Calibri"/>
          <w:sz w:val="23"/>
          <w:szCs w:val="23"/>
        </w:rPr>
        <w:t xml:space="preserve">Rozhodování o správě: </w:t>
      </w:r>
    </w:p>
    <w:p w14:paraId="0421C416" w14:textId="57856040" w:rsidR="00E373C0" w:rsidRPr="008B5CE9" w:rsidRDefault="00E373C0" w:rsidP="00E643FF">
      <w:pPr>
        <w:spacing w:line="240" w:lineRule="auto"/>
        <w:ind w:left="708"/>
        <w:jc w:val="both"/>
        <w:rPr>
          <w:rFonts w:ascii="Calibri" w:hAnsi="Calibri" w:cs="Calibri"/>
          <w:i/>
          <w:iCs/>
          <w:sz w:val="23"/>
          <w:szCs w:val="23"/>
        </w:rPr>
      </w:pPr>
      <w:r w:rsidRPr="008B5CE9">
        <w:rPr>
          <w:rFonts w:ascii="Calibri" w:hAnsi="Calibri" w:cs="Calibri"/>
          <w:i/>
          <w:iCs/>
          <w:sz w:val="23"/>
          <w:szCs w:val="23"/>
        </w:rPr>
        <w:t>Rozhodování o správě společného majetku je obvykle v kompetenci shromáždění vlastníků jednotek. Podle § 1206 je pro rozhodnutí o významných záležitostech, jako jsou rekonstrukce, potřeba souhlas většiny hlasů všech vlastníků jednotek.</w:t>
      </w:r>
    </w:p>
    <w:p w14:paraId="1E6C2862" w14:textId="39F67967" w:rsidR="00E373C0" w:rsidRPr="00780DDB" w:rsidRDefault="00E373C0" w:rsidP="00E643FF">
      <w:pPr>
        <w:pStyle w:val="Odstavecseseznamem"/>
        <w:numPr>
          <w:ilvl w:val="0"/>
          <w:numId w:val="12"/>
        </w:numPr>
        <w:spacing w:line="240" w:lineRule="auto"/>
        <w:jc w:val="both"/>
        <w:rPr>
          <w:rFonts w:ascii="Calibri" w:hAnsi="Calibri" w:cs="Calibri"/>
          <w:sz w:val="23"/>
          <w:szCs w:val="23"/>
        </w:rPr>
      </w:pPr>
      <w:r w:rsidRPr="008B5CE9">
        <w:rPr>
          <w:rFonts w:ascii="Calibri" w:hAnsi="Calibri" w:cs="Calibri"/>
          <w:sz w:val="23"/>
          <w:szCs w:val="23"/>
          <w:u w:val="single"/>
        </w:rPr>
        <w:t>Stavební zákon</w:t>
      </w:r>
      <w:r w:rsidRPr="00780DDB">
        <w:rPr>
          <w:rFonts w:ascii="Calibri" w:hAnsi="Calibri" w:cs="Calibri"/>
          <w:sz w:val="23"/>
          <w:szCs w:val="23"/>
        </w:rPr>
        <w:t>:</w:t>
      </w:r>
    </w:p>
    <w:p w14:paraId="3EC8D953" w14:textId="77777777" w:rsidR="008B5CE9" w:rsidRDefault="00E373C0" w:rsidP="00E643FF">
      <w:pPr>
        <w:pStyle w:val="Odstavecseseznamem"/>
        <w:spacing w:line="240" w:lineRule="auto"/>
        <w:jc w:val="both"/>
        <w:rPr>
          <w:rFonts w:ascii="Calibri" w:hAnsi="Calibri" w:cs="Calibri"/>
          <w:sz w:val="23"/>
          <w:szCs w:val="23"/>
        </w:rPr>
      </w:pPr>
      <w:r w:rsidRPr="008B5CE9">
        <w:rPr>
          <w:rFonts w:ascii="Calibri" w:hAnsi="Calibri" w:cs="Calibri"/>
          <w:sz w:val="23"/>
          <w:szCs w:val="23"/>
        </w:rPr>
        <w:t>Stavební povolení</w:t>
      </w:r>
      <w:r w:rsidRPr="00780DDB">
        <w:rPr>
          <w:rFonts w:ascii="Calibri" w:hAnsi="Calibri" w:cs="Calibri"/>
          <w:sz w:val="23"/>
          <w:szCs w:val="23"/>
        </w:rPr>
        <w:t xml:space="preserve">: </w:t>
      </w:r>
    </w:p>
    <w:p w14:paraId="3655E768" w14:textId="16F48CC3" w:rsidR="00E373C0" w:rsidRPr="008B5CE9" w:rsidRDefault="00E373C0" w:rsidP="00E643FF">
      <w:pPr>
        <w:pStyle w:val="Odstavecseseznamem"/>
        <w:spacing w:line="240" w:lineRule="auto"/>
        <w:jc w:val="both"/>
        <w:rPr>
          <w:rFonts w:ascii="Calibri" w:hAnsi="Calibri" w:cs="Calibri"/>
          <w:i/>
          <w:iCs/>
          <w:sz w:val="23"/>
          <w:szCs w:val="23"/>
        </w:rPr>
      </w:pPr>
      <w:r w:rsidRPr="008B5CE9">
        <w:rPr>
          <w:rFonts w:ascii="Calibri" w:hAnsi="Calibri" w:cs="Calibri"/>
          <w:i/>
          <w:iCs/>
          <w:sz w:val="23"/>
          <w:szCs w:val="23"/>
        </w:rPr>
        <w:t>Pokud zásah do společného majetku zahrnuje stavební úpravy, je nutné získat stavební povolení od stavebního úřadu. To platí zejména pro zásahy, které mění vzhled budovy, její strukturu nebo funkci.</w:t>
      </w:r>
    </w:p>
    <w:p w14:paraId="7DD14664" w14:textId="77777777" w:rsidR="008B5CE9" w:rsidRDefault="00E373C0" w:rsidP="00E643FF">
      <w:pPr>
        <w:spacing w:after="0" w:line="240" w:lineRule="auto"/>
        <w:ind w:left="708"/>
        <w:jc w:val="both"/>
        <w:rPr>
          <w:rFonts w:ascii="Calibri" w:hAnsi="Calibri" w:cs="Calibri"/>
          <w:sz w:val="23"/>
          <w:szCs w:val="23"/>
        </w:rPr>
      </w:pPr>
      <w:r w:rsidRPr="008B5CE9">
        <w:rPr>
          <w:rFonts w:ascii="Calibri" w:hAnsi="Calibri" w:cs="Calibri"/>
          <w:sz w:val="23"/>
          <w:szCs w:val="23"/>
        </w:rPr>
        <w:t>Ohlášení stavebních prací</w:t>
      </w:r>
      <w:r w:rsidRPr="00780DDB">
        <w:rPr>
          <w:rFonts w:ascii="Calibri" w:hAnsi="Calibri" w:cs="Calibri"/>
          <w:sz w:val="23"/>
          <w:szCs w:val="23"/>
        </w:rPr>
        <w:t xml:space="preserve">: </w:t>
      </w:r>
    </w:p>
    <w:p w14:paraId="189B5647" w14:textId="0A97D4F4" w:rsidR="00E373C0" w:rsidRPr="008B5CE9" w:rsidRDefault="00E373C0" w:rsidP="00E643FF">
      <w:pPr>
        <w:spacing w:after="0" w:line="240" w:lineRule="auto"/>
        <w:ind w:left="708"/>
        <w:jc w:val="both"/>
        <w:rPr>
          <w:rFonts w:ascii="Calibri" w:hAnsi="Calibri" w:cs="Calibri"/>
          <w:i/>
          <w:iCs/>
          <w:sz w:val="23"/>
          <w:szCs w:val="23"/>
        </w:rPr>
      </w:pPr>
      <w:r w:rsidRPr="008B5CE9">
        <w:rPr>
          <w:rFonts w:ascii="Calibri" w:hAnsi="Calibri" w:cs="Calibri"/>
          <w:i/>
          <w:iCs/>
          <w:sz w:val="23"/>
          <w:szCs w:val="23"/>
        </w:rPr>
        <w:t>Některé menší úpravy mohou vyžadovat pouze ohlášení stavebních prací, což je jednodušší proces než získání stavebního povolení.</w:t>
      </w:r>
    </w:p>
    <w:p w14:paraId="4DFA0F77" w14:textId="77777777" w:rsidR="00E373C0" w:rsidRPr="00AA3EF7" w:rsidRDefault="00E373C0" w:rsidP="00E373C0">
      <w:pPr>
        <w:spacing w:after="0" w:line="240" w:lineRule="auto"/>
        <w:jc w:val="both"/>
        <w:rPr>
          <w:rFonts w:ascii="Calibri" w:hAnsi="Calibri" w:cs="Calibri"/>
          <w:sz w:val="23"/>
          <w:szCs w:val="23"/>
        </w:rPr>
      </w:pPr>
    </w:p>
    <w:p w14:paraId="45168EE1" w14:textId="77777777" w:rsidR="00B41008" w:rsidRDefault="00AA3EF7" w:rsidP="00E373C0">
      <w:pPr>
        <w:pStyle w:val="Odstavecseseznamem"/>
        <w:numPr>
          <w:ilvl w:val="0"/>
          <w:numId w:val="29"/>
        </w:numPr>
        <w:spacing w:line="240" w:lineRule="auto"/>
        <w:jc w:val="both"/>
        <w:rPr>
          <w:rFonts w:ascii="Calibri" w:hAnsi="Calibri" w:cs="Calibri"/>
          <w:sz w:val="23"/>
          <w:szCs w:val="23"/>
        </w:rPr>
      </w:pPr>
      <w:r w:rsidRPr="002C5159">
        <w:rPr>
          <w:rFonts w:ascii="Calibri" w:hAnsi="Calibri" w:cs="Calibri"/>
          <w:b/>
          <w:bCs/>
          <w:sz w:val="23"/>
          <w:szCs w:val="23"/>
        </w:rPr>
        <w:t>Přenos pravomoci na Výbor SVJ</w:t>
      </w:r>
      <w:r w:rsidRPr="002C5159">
        <w:rPr>
          <w:rFonts w:ascii="Calibri" w:hAnsi="Calibri" w:cs="Calibri"/>
          <w:sz w:val="23"/>
          <w:szCs w:val="23"/>
        </w:rPr>
        <w:t> </w:t>
      </w:r>
    </w:p>
    <w:p w14:paraId="1825FD6A" w14:textId="77777777" w:rsidR="00B41008" w:rsidRDefault="00B41008" w:rsidP="00E373C0">
      <w:pPr>
        <w:pStyle w:val="Odstavecseseznamem"/>
        <w:spacing w:line="240" w:lineRule="auto"/>
        <w:ind w:left="360"/>
        <w:jc w:val="both"/>
        <w:rPr>
          <w:rFonts w:ascii="Calibri" w:hAnsi="Calibri" w:cs="Calibri"/>
          <w:sz w:val="23"/>
          <w:szCs w:val="23"/>
        </w:rPr>
      </w:pPr>
    </w:p>
    <w:p w14:paraId="7ABFEA66" w14:textId="77777777" w:rsidR="00E373C0" w:rsidRPr="00E373C0" w:rsidRDefault="00E373C0" w:rsidP="00E373C0">
      <w:pPr>
        <w:pStyle w:val="Odstavecseseznamem"/>
        <w:numPr>
          <w:ilvl w:val="0"/>
          <w:numId w:val="32"/>
        </w:numPr>
        <w:spacing w:line="240" w:lineRule="auto"/>
        <w:jc w:val="both"/>
        <w:rPr>
          <w:rFonts w:ascii="Calibri" w:hAnsi="Calibri" w:cs="Calibri"/>
          <w:sz w:val="23"/>
          <w:szCs w:val="23"/>
        </w:rPr>
      </w:pPr>
      <w:r w:rsidRPr="00E373C0">
        <w:rPr>
          <w:rFonts w:ascii="Calibri" w:hAnsi="Calibri" w:cs="Calibri"/>
          <w:sz w:val="23"/>
          <w:szCs w:val="23"/>
        </w:rPr>
        <w:lastRenderedPageBreak/>
        <w:t xml:space="preserve">V určitých případech, kdy je rozhodování o zásahu do společného majetku neodkladné nebo potřeba rychlého jednání, je pravomoc k rozhodnutí přenesena na Výbor SVJ. Tento postup je zvolen pro zajištění operativnosti a efektivního řízení. Nicméně, v případech, kdy dochází například k opodstatněnému nesouhlasu dotčených sousedů či jiným sporným záležitostem, bude daný bod předložen ke schválení všem vlastníkům na budoucím řádném Shromáždění SVJ. </w:t>
      </w:r>
    </w:p>
    <w:p w14:paraId="2F904497" w14:textId="279898EB" w:rsidR="00E373C0" w:rsidRPr="00E373C0" w:rsidRDefault="008B5CE9" w:rsidP="00E373C0">
      <w:pPr>
        <w:pStyle w:val="Odstavecseseznamem"/>
        <w:numPr>
          <w:ilvl w:val="0"/>
          <w:numId w:val="32"/>
        </w:numPr>
        <w:spacing w:line="240" w:lineRule="auto"/>
        <w:jc w:val="both"/>
        <w:rPr>
          <w:rFonts w:ascii="Calibri" w:hAnsi="Calibri" w:cs="Calibri"/>
          <w:sz w:val="23"/>
          <w:szCs w:val="23"/>
        </w:rPr>
      </w:pPr>
      <w:r>
        <w:rPr>
          <w:rFonts w:ascii="Calibri" w:hAnsi="Calibri" w:cs="Calibri"/>
          <w:sz w:val="23"/>
          <w:szCs w:val="23"/>
        </w:rPr>
        <w:t xml:space="preserve">O </w:t>
      </w:r>
      <w:r w:rsidR="00E373C0" w:rsidRPr="00E373C0">
        <w:rPr>
          <w:rFonts w:ascii="Calibri" w:hAnsi="Calibri" w:cs="Calibri"/>
          <w:sz w:val="23"/>
          <w:szCs w:val="23"/>
        </w:rPr>
        <w:t>realizacích, které byly schváleny Výborem, včetně jejich obsahu, budou následně informováni všichni vlastníci.</w:t>
      </w:r>
    </w:p>
    <w:p w14:paraId="7A183B25" w14:textId="77777777" w:rsidR="00B41008" w:rsidRDefault="00AA3EF7" w:rsidP="00E373C0">
      <w:pPr>
        <w:pStyle w:val="Odstavecseseznamem"/>
        <w:numPr>
          <w:ilvl w:val="0"/>
          <w:numId w:val="29"/>
        </w:numPr>
        <w:spacing w:line="240" w:lineRule="auto"/>
        <w:jc w:val="both"/>
        <w:rPr>
          <w:rFonts w:ascii="Calibri" w:hAnsi="Calibri" w:cs="Calibri"/>
          <w:sz w:val="23"/>
          <w:szCs w:val="23"/>
        </w:rPr>
      </w:pPr>
      <w:r w:rsidRPr="002C5159">
        <w:rPr>
          <w:rFonts w:ascii="Calibri" w:hAnsi="Calibri" w:cs="Calibri"/>
          <w:b/>
          <w:bCs/>
          <w:sz w:val="23"/>
          <w:szCs w:val="23"/>
        </w:rPr>
        <w:t>Schválení a dostupnost manuálu</w:t>
      </w:r>
      <w:r w:rsidRPr="002C5159">
        <w:rPr>
          <w:rFonts w:ascii="Calibri" w:hAnsi="Calibri" w:cs="Calibri"/>
          <w:sz w:val="23"/>
          <w:szCs w:val="23"/>
        </w:rPr>
        <w:t> </w:t>
      </w:r>
    </w:p>
    <w:p w14:paraId="10A71F18" w14:textId="77777777" w:rsidR="00B41008" w:rsidRDefault="00B41008" w:rsidP="00E373C0">
      <w:pPr>
        <w:pStyle w:val="Odstavecseseznamem"/>
        <w:spacing w:line="240" w:lineRule="auto"/>
        <w:ind w:left="360"/>
        <w:jc w:val="both"/>
        <w:rPr>
          <w:rFonts w:ascii="Calibri" w:hAnsi="Calibri" w:cs="Calibri"/>
          <w:sz w:val="23"/>
          <w:szCs w:val="23"/>
        </w:rPr>
      </w:pPr>
    </w:p>
    <w:p w14:paraId="1A1C4746" w14:textId="77777777" w:rsidR="00E373C0" w:rsidRPr="00E373C0" w:rsidRDefault="00E373C0" w:rsidP="00E373C0">
      <w:pPr>
        <w:pStyle w:val="Odstavecseseznamem"/>
        <w:numPr>
          <w:ilvl w:val="0"/>
          <w:numId w:val="31"/>
        </w:numPr>
        <w:jc w:val="both"/>
        <w:rPr>
          <w:rFonts w:ascii="Calibri" w:hAnsi="Calibri" w:cs="Calibri"/>
          <w:sz w:val="23"/>
          <w:szCs w:val="23"/>
        </w:rPr>
      </w:pPr>
      <w:r w:rsidRPr="00E373C0">
        <w:rPr>
          <w:rFonts w:ascii="Calibri" w:hAnsi="Calibri" w:cs="Calibri"/>
          <w:sz w:val="23"/>
          <w:szCs w:val="23"/>
        </w:rPr>
        <w:t>Tento Manuál byl schválen shromážděním vlastníků formou per-rollam hlasování a distribuován všem členům SVJ s cílem zajištění transparentnost a dodržování stanovených pravidel. Současně je Manuál zveřejněn na webových stránkách SVJ a odkaz na něj bude zahrnut do Stanov SVJ při jejich nejbližší aktualizaci</w:t>
      </w:r>
    </w:p>
    <w:p w14:paraId="4AC747D0" w14:textId="77777777" w:rsidR="00AA3EF7" w:rsidRPr="002C5159" w:rsidRDefault="00AA3EF7" w:rsidP="00E373C0">
      <w:pPr>
        <w:pStyle w:val="Odstavecseseznamem"/>
        <w:spacing w:after="0" w:line="240" w:lineRule="auto"/>
        <w:jc w:val="both"/>
        <w:rPr>
          <w:rFonts w:ascii="Calibri" w:hAnsi="Calibri" w:cs="Calibri"/>
          <w:sz w:val="23"/>
          <w:szCs w:val="23"/>
        </w:rPr>
      </w:pPr>
    </w:p>
    <w:p w14:paraId="15B1C044" w14:textId="6383DBFD" w:rsidR="00AA3EF7" w:rsidRPr="002C5159" w:rsidRDefault="00AA3EF7" w:rsidP="00E373C0">
      <w:pPr>
        <w:pStyle w:val="Odstavecseseznamem"/>
        <w:numPr>
          <w:ilvl w:val="0"/>
          <w:numId w:val="29"/>
        </w:numPr>
        <w:spacing w:line="240" w:lineRule="auto"/>
        <w:jc w:val="both"/>
        <w:rPr>
          <w:rFonts w:ascii="Calibri" w:hAnsi="Calibri" w:cs="Calibri"/>
          <w:b/>
          <w:bCs/>
          <w:sz w:val="23"/>
          <w:szCs w:val="23"/>
        </w:rPr>
      </w:pPr>
      <w:r w:rsidRPr="002C5159">
        <w:rPr>
          <w:rFonts w:ascii="Calibri" w:hAnsi="Calibri" w:cs="Calibri"/>
          <w:b/>
          <w:bCs/>
          <w:sz w:val="23"/>
          <w:szCs w:val="23"/>
        </w:rPr>
        <w:t xml:space="preserve"> Závěr</w:t>
      </w:r>
    </w:p>
    <w:p w14:paraId="2603CB2A" w14:textId="77777777" w:rsidR="002C5159" w:rsidRPr="00E373C0" w:rsidRDefault="00AA3EF7" w:rsidP="00E373C0">
      <w:pPr>
        <w:pStyle w:val="Odstavecseseznamem"/>
        <w:numPr>
          <w:ilvl w:val="0"/>
          <w:numId w:val="31"/>
        </w:numPr>
        <w:spacing w:line="240" w:lineRule="auto"/>
        <w:jc w:val="both"/>
        <w:rPr>
          <w:rFonts w:ascii="Calibri" w:hAnsi="Calibri" w:cs="Calibri"/>
          <w:sz w:val="23"/>
          <w:szCs w:val="23"/>
        </w:rPr>
      </w:pPr>
      <w:r w:rsidRPr="00E373C0">
        <w:rPr>
          <w:rFonts w:ascii="Calibri" w:hAnsi="Calibri" w:cs="Calibri"/>
          <w:sz w:val="23"/>
          <w:szCs w:val="23"/>
        </w:rPr>
        <w:t xml:space="preserve">Pro dotazy a žádosti o schválení kontaktujte členy Výboru SVJ na e-mailové adrese: </w:t>
      </w:r>
    </w:p>
    <w:p w14:paraId="5F299D49" w14:textId="504B3092" w:rsidR="00AA3EF7" w:rsidRDefault="00E373C0" w:rsidP="00E373C0">
      <w:pPr>
        <w:spacing w:line="240" w:lineRule="auto"/>
        <w:ind w:firstLine="708"/>
        <w:jc w:val="both"/>
        <w:rPr>
          <w:rFonts w:ascii="Calibri" w:hAnsi="Calibri" w:cs="Calibri"/>
          <w:sz w:val="23"/>
          <w:szCs w:val="23"/>
        </w:rPr>
      </w:pPr>
      <w:hyperlink r:id="rId7" w:history="1">
        <w:r w:rsidRPr="00CE3995">
          <w:rPr>
            <w:rStyle w:val="Hypertextovodkaz"/>
            <w:rFonts w:ascii="Calibri" w:hAnsi="Calibri" w:cs="Calibri"/>
            <w:sz w:val="23"/>
            <w:szCs w:val="23"/>
          </w:rPr>
          <w:t>vybor@svj-ranua.cz</w:t>
        </w:r>
      </w:hyperlink>
    </w:p>
    <w:p w14:paraId="5A83D648" w14:textId="77777777" w:rsidR="00AA3EF7" w:rsidRPr="00AA3EF7" w:rsidRDefault="005B1B6F" w:rsidP="00E373C0">
      <w:pPr>
        <w:spacing w:line="240" w:lineRule="auto"/>
        <w:jc w:val="both"/>
        <w:rPr>
          <w:rFonts w:ascii="Calibri" w:hAnsi="Calibri" w:cs="Calibri"/>
          <w:sz w:val="23"/>
          <w:szCs w:val="23"/>
        </w:rPr>
      </w:pPr>
      <w:r>
        <w:rPr>
          <w:noProof/>
        </w:rPr>
      </w:r>
      <w:r>
        <w:pict w14:anchorId="30403407">
          <v:rect id="Horizontal Line 1" o:spid="_x0000_s2050" style="width:453.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" fillcolor="#1f2937" stroked="f">
            <o:lock v:ext="edit" rotation="t" aspectratio="t" verticies="t" text="t" shapetype="t"/>
            <w10:anchorlock/>
          </v:rect>
        </w:pict>
      </w:r>
    </w:p>
    <w:p w14:paraId="209F353E" w14:textId="77777777" w:rsidR="00E373C0" w:rsidRDefault="00E373C0" w:rsidP="00E373C0">
      <w:pPr>
        <w:spacing w:line="240" w:lineRule="auto"/>
        <w:jc w:val="both"/>
        <w:rPr>
          <w:rFonts w:ascii="Calibri" w:hAnsi="Calibri" w:cs="Calibri"/>
          <w:i/>
          <w:iCs/>
          <w:sz w:val="23"/>
          <w:szCs w:val="23"/>
        </w:rPr>
      </w:pPr>
    </w:p>
    <w:p w14:paraId="0EC05D0E" w14:textId="064C8709" w:rsidR="00AA3EF7" w:rsidRPr="00AA3EF7" w:rsidRDefault="00AA3EF7" w:rsidP="00E373C0">
      <w:pPr>
        <w:spacing w:line="240" w:lineRule="auto"/>
        <w:jc w:val="both"/>
        <w:rPr>
          <w:rFonts w:ascii="Calibri" w:hAnsi="Calibri" w:cs="Calibri"/>
          <w:i/>
          <w:iCs/>
          <w:sz w:val="23"/>
          <w:szCs w:val="23"/>
        </w:rPr>
      </w:pPr>
      <w:r w:rsidRPr="00AA3EF7">
        <w:rPr>
          <w:rFonts w:ascii="Calibri" w:hAnsi="Calibri" w:cs="Calibri"/>
          <w:i/>
          <w:iCs/>
          <w:sz w:val="23"/>
          <w:szCs w:val="23"/>
        </w:rPr>
        <w:t xml:space="preserve">Tento manuál je určen pro interní použití v rámci SVJ a jeho dodržování je povinné pro všechny vlastníky bytových jednotek. V případě dotazů nebo potřeby dalšího upřesnění se obraťte na </w:t>
      </w:r>
      <w:r w:rsidR="00E373C0">
        <w:rPr>
          <w:rFonts w:ascii="Calibri" w:hAnsi="Calibri" w:cs="Calibri"/>
          <w:i/>
          <w:iCs/>
          <w:sz w:val="23"/>
          <w:szCs w:val="23"/>
        </w:rPr>
        <w:t>V</w:t>
      </w:r>
      <w:r w:rsidRPr="00AA3EF7">
        <w:rPr>
          <w:rFonts w:ascii="Calibri" w:hAnsi="Calibri" w:cs="Calibri"/>
          <w:i/>
          <w:iCs/>
          <w:sz w:val="23"/>
          <w:szCs w:val="23"/>
        </w:rPr>
        <w:t>ýbor.</w:t>
      </w:r>
    </w:p>
    <w:p w14:paraId="538B4759" w14:textId="176BE826" w:rsidR="004A29D5" w:rsidRDefault="004A29D5" w:rsidP="00E373C0">
      <w:pPr>
        <w:spacing w:line="240" w:lineRule="auto"/>
        <w:jc w:val="both"/>
        <w:rPr>
          <w:rFonts w:ascii="Calibri" w:hAnsi="Calibri" w:cs="Calibri"/>
          <w:sz w:val="23"/>
          <w:szCs w:val="23"/>
        </w:rPr>
      </w:pPr>
    </w:p>
    <w:p w14:paraId="0DAB1D0A" w14:textId="45A6F53B" w:rsidR="00DB7428" w:rsidRDefault="00DB7428" w:rsidP="00E373C0">
      <w:pPr>
        <w:spacing w:line="240" w:lineRule="auto"/>
        <w:jc w:val="both"/>
        <w:rPr>
          <w:rFonts w:ascii="Calibri" w:hAnsi="Calibri" w:cs="Calibri"/>
          <w:sz w:val="23"/>
          <w:szCs w:val="23"/>
        </w:rPr>
      </w:pPr>
      <w:r>
        <w:rPr>
          <w:rFonts w:ascii="Calibri" w:hAnsi="Calibri" w:cs="Calibri"/>
          <w:sz w:val="23"/>
          <w:szCs w:val="23"/>
        </w:rPr>
        <w:t>V Praze, dne 31.7.2025</w:t>
      </w:r>
    </w:p>
    <w:p w14:paraId="1879EBE5" w14:textId="3946C728" w:rsidR="00DB7428" w:rsidRPr="002C5159" w:rsidRDefault="00DB7428" w:rsidP="00E373C0">
      <w:pPr>
        <w:spacing w:line="240" w:lineRule="auto"/>
        <w:jc w:val="both"/>
        <w:rPr>
          <w:rFonts w:ascii="Calibri" w:hAnsi="Calibri" w:cs="Calibri"/>
          <w:sz w:val="23"/>
          <w:szCs w:val="23"/>
        </w:rPr>
      </w:pPr>
      <w:r>
        <w:rPr>
          <w:rFonts w:ascii="Calibri" w:hAnsi="Calibri" w:cs="Calibri"/>
          <w:sz w:val="23"/>
          <w:szCs w:val="23"/>
        </w:rPr>
        <w:t>Výbor SVJ</w:t>
      </w:r>
      <w:r w:rsidRPr="00DB7428">
        <w:rPr>
          <w:rFonts w:ascii="Calibri" w:hAnsi="Calibri" w:cs="Calibri"/>
          <w:sz w:val="23"/>
          <w:szCs w:val="23"/>
        </w:rPr>
        <w:t xml:space="preserve"> Sobí 117</w:t>
      </w:r>
      <w:r>
        <w:rPr>
          <w:rFonts w:ascii="Calibri" w:hAnsi="Calibri" w:cs="Calibri"/>
          <w:sz w:val="23"/>
          <w:szCs w:val="23"/>
        </w:rPr>
        <w:t>8</w:t>
      </w:r>
    </w:p>
    <w:sectPr w:rsidR="00DB7428" w:rsidRPr="002C515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F7C3" w14:textId="77777777" w:rsidR="005B1B6F" w:rsidRDefault="005B1B6F" w:rsidP="007E54AE">
      <w:pPr>
        <w:spacing w:after="0" w:line="240" w:lineRule="auto"/>
      </w:pPr>
      <w:r>
        <w:separator/>
      </w:r>
    </w:p>
  </w:endnote>
  <w:endnote w:type="continuationSeparator" w:id="0">
    <w:p w14:paraId="5AA1CED3" w14:textId="77777777" w:rsidR="005B1B6F" w:rsidRDefault="005B1B6F" w:rsidP="007E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2215"/>
      <w:docPartObj>
        <w:docPartGallery w:val="Page Numbers (Bottom of Page)"/>
        <w:docPartUnique/>
      </w:docPartObj>
    </w:sdtPr>
    <w:sdtContent>
      <w:p w14:paraId="52DF3D85" w14:textId="553D8DEA" w:rsidR="00C358F6" w:rsidRDefault="00C358F6">
        <w:pPr>
          <w:pStyle w:val="Zpat"/>
          <w:jc w:val="right"/>
        </w:pPr>
        <w:r>
          <w:fldChar w:fldCharType="begin"/>
        </w:r>
        <w:r>
          <w:instrText>PAGE   \* MERGEFORMAT</w:instrText>
        </w:r>
        <w:r>
          <w:fldChar w:fldCharType="separate"/>
        </w:r>
        <w:r>
          <w:t>2</w:t>
        </w:r>
        <w:r>
          <w:fldChar w:fldCharType="end"/>
        </w:r>
      </w:p>
    </w:sdtContent>
  </w:sdt>
  <w:p w14:paraId="18126D6B" w14:textId="77777777" w:rsidR="00C358F6" w:rsidRDefault="00C358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C5A0" w14:textId="77777777" w:rsidR="005B1B6F" w:rsidRDefault="005B1B6F" w:rsidP="007E54AE">
      <w:pPr>
        <w:spacing w:after="0" w:line="240" w:lineRule="auto"/>
      </w:pPr>
      <w:r>
        <w:separator/>
      </w:r>
    </w:p>
  </w:footnote>
  <w:footnote w:type="continuationSeparator" w:id="0">
    <w:p w14:paraId="5B2D0C60" w14:textId="77777777" w:rsidR="005B1B6F" w:rsidRDefault="005B1B6F" w:rsidP="007E5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4902" w14:textId="58928645" w:rsidR="00DB7428" w:rsidRPr="00DB7428" w:rsidRDefault="00DB7428" w:rsidP="00DB7428">
    <w:pPr>
      <w:pStyle w:val="Zhlav"/>
      <w:jc w:val="center"/>
      <w:rPr>
        <w:b/>
        <w:bCs/>
        <w:sz w:val="20"/>
        <w:szCs w:val="20"/>
      </w:rPr>
    </w:pPr>
    <w:r w:rsidRPr="00DB7428">
      <w:rPr>
        <w:b/>
        <w:bCs/>
        <w:sz w:val="20"/>
        <w:szCs w:val="20"/>
      </w:rPr>
      <w:t>Společenství vlastníků jednotek Sobí 117</w:t>
    </w:r>
    <w:r>
      <w:rPr>
        <w:b/>
        <w:bCs/>
        <w:sz w:val="20"/>
        <w:szCs w:val="20"/>
      </w:rPr>
      <w:t>8</w:t>
    </w:r>
  </w:p>
  <w:p w14:paraId="344DDA67" w14:textId="437FE346" w:rsidR="00DB7428" w:rsidRPr="00DB7428" w:rsidRDefault="00DB7428" w:rsidP="00DB7428">
    <w:pPr>
      <w:pStyle w:val="Zhlav"/>
      <w:jc w:val="center"/>
      <w:rPr>
        <w:sz w:val="20"/>
        <w:szCs w:val="20"/>
      </w:rPr>
    </w:pPr>
    <w:r w:rsidRPr="00DB7428">
      <w:rPr>
        <w:sz w:val="20"/>
        <w:szCs w:val="20"/>
      </w:rPr>
      <w:t>Sobí 1178/6, 198 00, Praha 9 - Hloubětín</w:t>
    </w:r>
  </w:p>
  <w:p w14:paraId="705A955D" w14:textId="77777777" w:rsidR="00DB7428" w:rsidRDefault="00DB7428" w:rsidP="00DB7428">
    <w:pPr>
      <w:pStyle w:val="Zhlav"/>
      <w:jc w:val="center"/>
    </w:pPr>
  </w:p>
  <w:p w14:paraId="7A1A5EBD" w14:textId="77777777" w:rsidR="00DB7428" w:rsidRDefault="00DB74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A8A"/>
    <w:multiLevelType w:val="multilevel"/>
    <w:tmpl w:val="A3906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F208D"/>
    <w:multiLevelType w:val="multilevel"/>
    <w:tmpl w:val="0A04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17C6B"/>
    <w:multiLevelType w:val="hybridMultilevel"/>
    <w:tmpl w:val="AC34C4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575E4"/>
    <w:multiLevelType w:val="multilevel"/>
    <w:tmpl w:val="EAF0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97A39"/>
    <w:multiLevelType w:val="multilevel"/>
    <w:tmpl w:val="7FE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17F3B"/>
    <w:multiLevelType w:val="multilevel"/>
    <w:tmpl w:val="C194C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F36DF"/>
    <w:multiLevelType w:val="multilevel"/>
    <w:tmpl w:val="7D547A3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E5317"/>
    <w:multiLevelType w:val="hybridMultilevel"/>
    <w:tmpl w:val="B3BEEFEA"/>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189A0D85"/>
    <w:multiLevelType w:val="multilevel"/>
    <w:tmpl w:val="A54A9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EA0FE6"/>
    <w:multiLevelType w:val="multilevel"/>
    <w:tmpl w:val="5CC4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56637"/>
    <w:multiLevelType w:val="multilevel"/>
    <w:tmpl w:val="4D9EF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E30F4A"/>
    <w:multiLevelType w:val="multilevel"/>
    <w:tmpl w:val="9DD0C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00D2B"/>
    <w:multiLevelType w:val="multilevel"/>
    <w:tmpl w:val="E6E21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D24BF2"/>
    <w:multiLevelType w:val="multilevel"/>
    <w:tmpl w:val="7B1C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31916"/>
    <w:multiLevelType w:val="hybridMultilevel"/>
    <w:tmpl w:val="4808BEF4"/>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925CD3"/>
    <w:multiLevelType w:val="multilevel"/>
    <w:tmpl w:val="C194C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67376"/>
    <w:multiLevelType w:val="multilevel"/>
    <w:tmpl w:val="6AE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C63C0"/>
    <w:multiLevelType w:val="multilevel"/>
    <w:tmpl w:val="A3906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B2B0B"/>
    <w:multiLevelType w:val="multilevel"/>
    <w:tmpl w:val="0B20053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CEC6975"/>
    <w:multiLevelType w:val="multilevel"/>
    <w:tmpl w:val="F232F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41FB8"/>
    <w:multiLevelType w:val="multilevel"/>
    <w:tmpl w:val="FCB4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C28D3"/>
    <w:multiLevelType w:val="hybridMultilevel"/>
    <w:tmpl w:val="B226FB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6B562A"/>
    <w:multiLevelType w:val="hybridMultilevel"/>
    <w:tmpl w:val="615EC55C"/>
    <w:lvl w:ilvl="0" w:tplc="16948EAE">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7DE40E1"/>
    <w:multiLevelType w:val="multilevel"/>
    <w:tmpl w:val="93A6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415B5"/>
    <w:multiLevelType w:val="hybridMultilevel"/>
    <w:tmpl w:val="4E266E78"/>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073E9C"/>
    <w:multiLevelType w:val="multilevel"/>
    <w:tmpl w:val="C194C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E3B12"/>
    <w:multiLevelType w:val="multilevel"/>
    <w:tmpl w:val="D064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E3270"/>
    <w:multiLevelType w:val="hybridMultilevel"/>
    <w:tmpl w:val="6B5AC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9064FE"/>
    <w:multiLevelType w:val="hybridMultilevel"/>
    <w:tmpl w:val="444810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7AB5D03"/>
    <w:multiLevelType w:val="multilevel"/>
    <w:tmpl w:val="B0B000E8"/>
    <w:lvl w:ilvl="0">
      <w:start w:val="1"/>
      <w:numFmt w:val="decimal"/>
      <w:lvlText w:val="%1."/>
      <w:lvlJc w:val="left"/>
      <w:pPr>
        <w:tabs>
          <w:tab w:val="num" w:pos="643"/>
        </w:tabs>
        <w:ind w:left="643"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2559F5"/>
    <w:multiLevelType w:val="multilevel"/>
    <w:tmpl w:val="441E8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9705C8"/>
    <w:multiLevelType w:val="multilevel"/>
    <w:tmpl w:val="1612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61EC5"/>
    <w:multiLevelType w:val="multilevel"/>
    <w:tmpl w:val="3BE418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4469162">
    <w:abstractNumId w:val="31"/>
  </w:num>
  <w:num w:numId="2" w16cid:durableId="607934108">
    <w:abstractNumId w:val="19"/>
  </w:num>
  <w:num w:numId="3" w16cid:durableId="244729897">
    <w:abstractNumId w:val="29"/>
  </w:num>
  <w:num w:numId="4" w16cid:durableId="1063676635">
    <w:abstractNumId w:val="9"/>
  </w:num>
  <w:num w:numId="5" w16cid:durableId="640813978">
    <w:abstractNumId w:val="13"/>
  </w:num>
  <w:num w:numId="6" w16cid:durableId="41056474">
    <w:abstractNumId w:val="20"/>
  </w:num>
  <w:num w:numId="7" w16cid:durableId="582686031">
    <w:abstractNumId w:val="6"/>
  </w:num>
  <w:num w:numId="8" w16cid:durableId="37899420">
    <w:abstractNumId w:val="17"/>
  </w:num>
  <w:num w:numId="9" w16cid:durableId="1337880022">
    <w:abstractNumId w:val="0"/>
  </w:num>
  <w:num w:numId="10" w16cid:durableId="1686205134">
    <w:abstractNumId w:val="30"/>
  </w:num>
  <w:num w:numId="11" w16cid:durableId="1534269443">
    <w:abstractNumId w:val="12"/>
  </w:num>
  <w:num w:numId="12" w16cid:durableId="989595261">
    <w:abstractNumId w:val="10"/>
  </w:num>
  <w:num w:numId="13" w16cid:durableId="164709260">
    <w:abstractNumId w:val="2"/>
  </w:num>
  <w:num w:numId="14" w16cid:durableId="738408663">
    <w:abstractNumId w:val="27"/>
  </w:num>
  <w:num w:numId="15" w16cid:durableId="218707522">
    <w:abstractNumId w:val="21"/>
  </w:num>
  <w:num w:numId="16" w16cid:durableId="299188926">
    <w:abstractNumId w:val="14"/>
  </w:num>
  <w:num w:numId="17" w16cid:durableId="4943873">
    <w:abstractNumId w:val="24"/>
  </w:num>
  <w:num w:numId="18" w16cid:durableId="326400259">
    <w:abstractNumId w:val="18"/>
  </w:num>
  <w:num w:numId="19" w16cid:durableId="626351837">
    <w:abstractNumId w:val="32"/>
  </w:num>
  <w:num w:numId="20" w16cid:durableId="1766880541">
    <w:abstractNumId w:val="8"/>
  </w:num>
  <w:num w:numId="21" w16cid:durableId="1247301360">
    <w:abstractNumId w:val="15"/>
  </w:num>
  <w:num w:numId="22" w16cid:durableId="675231050">
    <w:abstractNumId w:val="3"/>
  </w:num>
  <w:num w:numId="23" w16cid:durableId="2134399088">
    <w:abstractNumId w:val="11"/>
  </w:num>
  <w:num w:numId="24" w16cid:durableId="53312992">
    <w:abstractNumId w:val="1"/>
  </w:num>
  <w:num w:numId="25" w16cid:durableId="414668103">
    <w:abstractNumId w:val="26"/>
  </w:num>
  <w:num w:numId="26" w16cid:durableId="1384716811">
    <w:abstractNumId w:val="16"/>
  </w:num>
  <w:num w:numId="27" w16cid:durableId="1239293056">
    <w:abstractNumId w:val="23"/>
  </w:num>
  <w:num w:numId="28" w16cid:durableId="1670205754">
    <w:abstractNumId w:val="4"/>
  </w:num>
  <w:num w:numId="29" w16cid:durableId="1512180921">
    <w:abstractNumId w:val="22"/>
  </w:num>
  <w:num w:numId="30" w16cid:durableId="999308797">
    <w:abstractNumId w:val="28"/>
  </w:num>
  <w:num w:numId="31" w16cid:durableId="1976523668">
    <w:abstractNumId w:val="5"/>
  </w:num>
  <w:num w:numId="32" w16cid:durableId="982660251">
    <w:abstractNumId w:val="25"/>
  </w:num>
  <w:num w:numId="33" w16cid:durableId="1483623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E"/>
    <w:rsid w:val="00025576"/>
    <w:rsid w:val="000B080B"/>
    <w:rsid w:val="0019165B"/>
    <w:rsid w:val="0027549B"/>
    <w:rsid w:val="00281011"/>
    <w:rsid w:val="002B78CB"/>
    <w:rsid w:val="002C5159"/>
    <w:rsid w:val="002D650F"/>
    <w:rsid w:val="003529EE"/>
    <w:rsid w:val="003B6511"/>
    <w:rsid w:val="003E65E6"/>
    <w:rsid w:val="00413B20"/>
    <w:rsid w:val="004878B3"/>
    <w:rsid w:val="004A29D5"/>
    <w:rsid w:val="004D4C17"/>
    <w:rsid w:val="004F43FB"/>
    <w:rsid w:val="00582CD8"/>
    <w:rsid w:val="00584631"/>
    <w:rsid w:val="005B1B6F"/>
    <w:rsid w:val="005F7D3B"/>
    <w:rsid w:val="006228E4"/>
    <w:rsid w:val="00671200"/>
    <w:rsid w:val="007038BB"/>
    <w:rsid w:val="00780DDB"/>
    <w:rsid w:val="007E54AE"/>
    <w:rsid w:val="008155D9"/>
    <w:rsid w:val="008B4D7A"/>
    <w:rsid w:val="008B5CE9"/>
    <w:rsid w:val="008C476C"/>
    <w:rsid w:val="008D1494"/>
    <w:rsid w:val="00910FEC"/>
    <w:rsid w:val="009A7D2C"/>
    <w:rsid w:val="009C024B"/>
    <w:rsid w:val="009D0484"/>
    <w:rsid w:val="00AA3EF7"/>
    <w:rsid w:val="00B41008"/>
    <w:rsid w:val="00B4711C"/>
    <w:rsid w:val="00B57793"/>
    <w:rsid w:val="00B805F0"/>
    <w:rsid w:val="00B87D6E"/>
    <w:rsid w:val="00BD5B40"/>
    <w:rsid w:val="00C04A23"/>
    <w:rsid w:val="00C358F6"/>
    <w:rsid w:val="00CE0FC7"/>
    <w:rsid w:val="00CE118D"/>
    <w:rsid w:val="00DB7428"/>
    <w:rsid w:val="00DC2D59"/>
    <w:rsid w:val="00DD2B6E"/>
    <w:rsid w:val="00E373C0"/>
    <w:rsid w:val="00E643FF"/>
    <w:rsid w:val="00E702B9"/>
    <w:rsid w:val="00E70A55"/>
    <w:rsid w:val="00EA66BE"/>
    <w:rsid w:val="00F35671"/>
    <w:rsid w:val="00FF37E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C863E6"/>
  <w15:chartTrackingRefBased/>
  <w15:docId w15:val="{5294200C-8E48-4043-8C22-78187E0E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D2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D2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D2B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D2B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D2B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D2B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D2B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D2B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D2B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2B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D2B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D2B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D2B6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D2B6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D2B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D2B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D2B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D2B6E"/>
    <w:rPr>
      <w:rFonts w:eastAsiaTheme="majorEastAsia" w:cstheme="majorBidi"/>
      <w:color w:val="272727" w:themeColor="text1" w:themeTint="D8"/>
    </w:rPr>
  </w:style>
  <w:style w:type="paragraph" w:styleId="Nzev">
    <w:name w:val="Title"/>
    <w:basedOn w:val="Normln"/>
    <w:next w:val="Normln"/>
    <w:link w:val="NzevChar"/>
    <w:uiPriority w:val="10"/>
    <w:qFormat/>
    <w:rsid w:val="00DD2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D2B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D2B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D2B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D2B6E"/>
    <w:pPr>
      <w:spacing w:before="160"/>
      <w:jc w:val="center"/>
    </w:pPr>
    <w:rPr>
      <w:i/>
      <w:iCs/>
      <w:color w:val="404040" w:themeColor="text1" w:themeTint="BF"/>
    </w:rPr>
  </w:style>
  <w:style w:type="character" w:customStyle="1" w:styleId="CittChar">
    <w:name w:val="Citát Char"/>
    <w:basedOn w:val="Standardnpsmoodstavce"/>
    <w:link w:val="Citt"/>
    <w:uiPriority w:val="29"/>
    <w:rsid w:val="00DD2B6E"/>
    <w:rPr>
      <w:i/>
      <w:iCs/>
      <w:color w:val="404040" w:themeColor="text1" w:themeTint="BF"/>
    </w:rPr>
  </w:style>
  <w:style w:type="paragraph" w:styleId="Odstavecseseznamem">
    <w:name w:val="List Paragraph"/>
    <w:basedOn w:val="Normln"/>
    <w:uiPriority w:val="34"/>
    <w:qFormat/>
    <w:rsid w:val="00DD2B6E"/>
    <w:pPr>
      <w:ind w:left="720"/>
      <w:contextualSpacing/>
    </w:pPr>
  </w:style>
  <w:style w:type="character" w:styleId="Zdraznnintenzivn">
    <w:name w:val="Intense Emphasis"/>
    <w:basedOn w:val="Standardnpsmoodstavce"/>
    <w:uiPriority w:val="21"/>
    <w:qFormat/>
    <w:rsid w:val="00DD2B6E"/>
    <w:rPr>
      <w:i/>
      <w:iCs/>
      <w:color w:val="0F4761" w:themeColor="accent1" w:themeShade="BF"/>
    </w:rPr>
  </w:style>
  <w:style w:type="paragraph" w:styleId="Vrazncitt">
    <w:name w:val="Intense Quote"/>
    <w:basedOn w:val="Normln"/>
    <w:next w:val="Normln"/>
    <w:link w:val="VrazncittChar"/>
    <w:uiPriority w:val="30"/>
    <w:qFormat/>
    <w:rsid w:val="00DD2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D2B6E"/>
    <w:rPr>
      <w:i/>
      <w:iCs/>
      <w:color w:val="0F4761" w:themeColor="accent1" w:themeShade="BF"/>
    </w:rPr>
  </w:style>
  <w:style w:type="character" w:styleId="Odkazintenzivn">
    <w:name w:val="Intense Reference"/>
    <w:basedOn w:val="Standardnpsmoodstavce"/>
    <w:uiPriority w:val="32"/>
    <w:qFormat/>
    <w:rsid w:val="00DD2B6E"/>
    <w:rPr>
      <w:b/>
      <w:bCs/>
      <w:smallCaps/>
      <w:color w:val="0F4761" w:themeColor="accent1" w:themeShade="BF"/>
      <w:spacing w:val="5"/>
    </w:rPr>
  </w:style>
  <w:style w:type="character" w:styleId="Hypertextovodkaz">
    <w:name w:val="Hyperlink"/>
    <w:basedOn w:val="Standardnpsmoodstavce"/>
    <w:uiPriority w:val="99"/>
    <w:unhideWhenUsed/>
    <w:rsid w:val="00DD2B6E"/>
    <w:rPr>
      <w:color w:val="467886" w:themeColor="hyperlink"/>
      <w:u w:val="single"/>
    </w:rPr>
  </w:style>
  <w:style w:type="character" w:styleId="Nevyeenzmnka">
    <w:name w:val="Unresolved Mention"/>
    <w:basedOn w:val="Standardnpsmoodstavce"/>
    <w:uiPriority w:val="99"/>
    <w:semiHidden/>
    <w:unhideWhenUsed/>
    <w:rsid w:val="00DD2B6E"/>
    <w:rPr>
      <w:color w:val="605E5C"/>
      <w:shd w:val="clear" w:color="auto" w:fill="E1DFDD"/>
    </w:rPr>
  </w:style>
  <w:style w:type="paragraph" w:styleId="Zhlav">
    <w:name w:val="header"/>
    <w:basedOn w:val="Normln"/>
    <w:link w:val="ZhlavChar"/>
    <w:uiPriority w:val="99"/>
    <w:unhideWhenUsed/>
    <w:rsid w:val="007E54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54AE"/>
  </w:style>
  <w:style w:type="paragraph" w:styleId="Zpat">
    <w:name w:val="footer"/>
    <w:basedOn w:val="Normln"/>
    <w:link w:val="ZpatChar"/>
    <w:uiPriority w:val="99"/>
    <w:unhideWhenUsed/>
    <w:rsid w:val="007E54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E54AE"/>
  </w:style>
  <w:style w:type="paragraph" w:styleId="Revize">
    <w:name w:val="Revision"/>
    <w:hidden/>
    <w:uiPriority w:val="99"/>
    <w:semiHidden/>
    <w:rsid w:val="00C04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1799">
      <w:bodyDiv w:val="1"/>
      <w:marLeft w:val="0"/>
      <w:marRight w:val="0"/>
      <w:marTop w:val="0"/>
      <w:marBottom w:val="0"/>
      <w:divBdr>
        <w:top w:val="none" w:sz="0" w:space="0" w:color="auto"/>
        <w:left w:val="none" w:sz="0" w:space="0" w:color="auto"/>
        <w:bottom w:val="none" w:sz="0" w:space="0" w:color="auto"/>
        <w:right w:val="none" w:sz="0" w:space="0" w:color="auto"/>
      </w:divBdr>
    </w:div>
    <w:div w:id="550576144">
      <w:bodyDiv w:val="1"/>
      <w:marLeft w:val="0"/>
      <w:marRight w:val="0"/>
      <w:marTop w:val="0"/>
      <w:marBottom w:val="0"/>
      <w:divBdr>
        <w:top w:val="none" w:sz="0" w:space="0" w:color="auto"/>
        <w:left w:val="none" w:sz="0" w:space="0" w:color="auto"/>
        <w:bottom w:val="none" w:sz="0" w:space="0" w:color="auto"/>
        <w:right w:val="none" w:sz="0" w:space="0" w:color="auto"/>
      </w:divBdr>
    </w:div>
    <w:div w:id="1539469611">
      <w:bodyDiv w:val="1"/>
      <w:marLeft w:val="0"/>
      <w:marRight w:val="0"/>
      <w:marTop w:val="0"/>
      <w:marBottom w:val="0"/>
      <w:divBdr>
        <w:top w:val="none" w:sz="0" w:space="0" w:color="auto"/>
        <w:left w:val="none" w:sz="0" w:space="0" w:color="auto"/>
        <w:bottom w:val="none" w:sz="0" w:space="0" w:color="auto"/>
        <w:right w:val="none" w:sz="0" w:space="0" w:color="auto"/>
      </w:divBdr>
    </w:div>
    <w:div w:id="16041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bor@svj-ranu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9085</Characters>
  <Application>Microsoft Office Word</Application>
  <DocSecurity>0</DocSecurity>
  <Lines>197</Lines>
  <Paragraphs>101</Paragraphs>
  <ScaleCrop>false</ScaleCrop>
  <HeadingPairs>
    <vt:vector size="2" baseType="variant">
      <vt:variant>
        <vt:lpstr>Název</vt:lpstr>
      </vt:variant>
      <vt:variant>
        <vt:i4>1</vt:i4>
      </vt:variant>
    </vt:vector>
  </HeadingPairs>
  <TitlesOfParts>
    <vt:vector size="1" baseType="lpstr">
      <vt:lpstr/>
    </vt:vector>
  </TitlesOfParts>
  <Company>Allianz</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Machat, Jiri (Allianz pojišťovna,a.s.)</dc:creator>
  <cp:keywords/>
  <dc:description/>
  <cp:lastModifiedBy>Zdenek Navrátil</cp:lastModifiedBy>
  <cp:revision>2</cp:revision>
  <dcterms:created xsi:type="dcterms:W3CDTF">2026-03-15T08:15:00Z</dcterms:created>
  <dcterms:modified xsi:type="dcterms:W3CDTF">2026-03-15T08:15:00Z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2025-05-05T09:08:46Z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ee4d7761-249c-43d5-b54e-3f096f41ce88</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ies>
</file>